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5DE43" w14:textId="5518C8B7" w:rsidR="00561B49" w:rsidRPr="00C311B4" w:rsidRDefault="00561B49" w:rsidP="00561B49">
      <w:pPr>
        <w:spacing w:line="276" w:lineRule="auto"/>
        <w:rPr>
          <w:rFonts w:ascii="Cambria" w:hAnsi="Cambria" w:cs="Times New Roman"/>
          <w:color w:val="262626" w:themeColor="text1" w:themeTint="D9"/>
          <w:szCs w:val="24"/>
        </w:rPr>
      </w:pPr>
    </w:p>
    <w:p w14:paraId="25433BCF" w14:textId="19E050B6" w:rsidR="00C26587" w:rsidRDefault="000639E0" w:rsidP="000639E0">
      <w:pPr>
        <w:jc w:val="center"/>
      </w:pPr>
      <w:r w:rsidRPr="000639E0">
        <w:rPr>
          <w:b/>
          <w:bCs/>
        </w:rPr>
        <w:t>SALA SEGUNDA</w:t>
      </w:r>
      <w:r w:rsidR="00711A86" w:rsidRPr="00022F7A">
        <w:rPr>
          <w:noProof/>
        </w:rPr>
        <mc:AlternateContent>
          <mc:Choice Requires="wps">
            <w:drawing>
              <wp:anchor distT="0" distB="0" distL="114300" distR="114300" simplePos="0" relativeHeight="251659264" behindDoc="0" locked="0" layoutInCell="1" allowOverlap="1" wp14:anchorId="59AC92C5" wp14:editId="70E4A3A5">
                <wp:simplePos x="0" y="0"/>
                <wp:positionH relativeFrom="margin">
                  <wp:align>center</wp:align>
                </wp:positionH>
                <wp:positionV relativeFrom="page">
                  <wp:posOffset>5389880</wp:posOffset>
                </wp:positionV>
                <wp:extent cx="7129780" cy="1732915"/>
                <wp:effectExtent l="0" t="0" r="0" b="63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1732915"/>
                        </a:xfrm>
                        <a:prstGeom prst="rect">
                          <a:avLst/>
                        </a:prstGeom>
                        <a:noFill/>
                        <a:ln w="9525">
                          <a:noFill/>
                          <a:miter lim="800000"/>
                          <a:headEnd/>
                          <a:tailEnd/>
                        </a:ln>
                      </wps:spPr>
                      <wps:txbx>
                        <w:txbxContent>
                          <w:p w14:paraId="6452C91F" w14:textId="0ACDC628" w:rsidR="00561B49" w:rsidRPr="00711A86" w:rsidRDefault="00561B49" w:rsidP="000639E0">
                            <w:pPr>
                              <w:spacing w:line="240" w:lineRule="auto"/>
                              <w:rPr>
                                <w:rFonts w:ascii="Segoe UI" w:hAnsi="Segoe UI" w:cs="Segoe UI"/>
                                <w:color w:val="FFFFFF" w:themeColor="background1"/>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C92C5" id="_x0000_t202" coordsize="21600,21600" o:spt="202" path="m,l,21600r21600,l21600,xe">
                <v:stroke joinstyle="miter"/>
                <v:path gradientshapeok="t" o:connecttype="rect"/>
              </v:shapetype>
              <v:shape id="Cuadro de texto 9" o:spid="_x0000_s1026" type="#_x0000_t202" style="position:absolute;left:0;text-align:left;margin-left:0;margin-top:424.4pt;width:561.4pt;height:136.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" filled="f" stroked="f">
                <v:textbox>
                  <w:txbxContent>
                    <w:p w14:paraId="6452C91F" w14:textId="0ACDC628" w:rsidR="00561B49" w:rsidRPr="00711A86" w:rsidRDefault="00561B49" w:rsidP="000639E0">
                      <w:pPr>
                        <w:spacing w:line="240" w:lineRule="auto"/>
                        <w:rPr>
                          <w:rFonts w:ascii="Segoe UI" w:hAnsi="Segoe UI" w:cs="Segoe UI"/>
                          <w:color w:val="FFFFFF" w:themeColor="background1"/>
                          <w:sz w:val="22"/>
                        </w:rPr>
                      </w:pPr>
                    </w:p>
                  </w:txbxContent>
                </v:textbox>
                <w10:wrap anchorx="margin" anchory="page"/>
              </v:shape>
            </w:pict>
          </mc:Fallback>
        </mc:AlternateContent>
      </w:r>
      <w:r w:rsidR="00C26587" w:rsidRPr="00022F7A">
        <w:rPr>
          <w:noProof/>
        </w:rPr>
        <mc:AlternateContent>
          <mc:Choice Requires="wps">
            <w:drawing>
              <wp:anchor distT="0" distB="0" distL="114300" distR="114300" simplePos="0" relativeHeight="251660288" behindDoc="0" locked="0" layoutInCell="1" allowOverlap="1" wp14:anchorId="01EC2C12" wp14:editId="451D0D01">
                <wp:simplePos x="0" y="0"/>
                <wp:positionH relativeFrom="margin">
                  <wp:posOffset>104775</wp:posOffset>
                </wp:positionH>
                <wp:positionV relativeFrom="margin">
                  <wp:align>bottom</wp:align>
                </wp:positionV>
                <wp:extent cx="45719" cy="73127"/>
                <wp:effectExtent l="57150" t="0" r="6921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73127"/>
                        </a:xfrm>
                        <a:prstGeom prst="rect">
                          <a:avLst/>
                        </a:prstGeom>
                        <a:noFill/>
                        <a:ln w="9525">
                          <a:noFill/>
                          <a:miter lim="800000"/>
                          <a:headEnd/>
                          <a:tailEnd/>
                        </a:ln>
                      </wps:spPr>
                      <wps:txbx>
                        <w:txbxContent>
                          <w:p w14:paraId="472C50EE" w14:textId="51EB187A" w:rsidR="00711A86" w:rsidRDefault="00561B49" w:rsidP="00711A86">
                            <w:pPr>
                              <w:spacing w:line="276" w:lineRule="auto"/>
                              <w:jc w:val="center"/>
                              <w:rPr>
                                <w:rFonts w:ascii="Segoe UI" w:hAnsi="Segoe UI" w:cs="Segoe UI"/>
                                <w:color w:val="FFFFFF" w:themeColor="background1"/>
                                <w:szCs w:val="24"/>
                              </w:rPr>
                            </w:pPr>
                            <w:r w:rsidRPr="00C26587">
                              <w:rPr>
                                <w:rFonts w:ascii="Segoe UI" w:hAnsi="Segoe UI" w:cs="Segoe UI"/>
                                <w:b/>
                                <w:bCs/>
                                <w:color w:val="FFFFFF" w:themeColor="background1"/>
                                <w:szCs w:val="24"/>
                              </w:rPr>
                              <w:t xml:space="preserve">Elaborado por: </w:t>
                            </w:r>
                            <w:r w:rsidR="00711A86">
                              <w:rPr>
                                <w:rFonts w:ascii="Segoe UI" w:hAnsi="Segoe UI" w:cs="Segoe UI"/>
                                <w:color w:val="FFFFFF" w:themeColor="background1"/>
                                <w:szCs w:val="24"/>
                              </w:rPr>
                              <w:t>Lic.</w:t>
                            </w:r>
                            <w:r w:rsidRPr="00C26587">
                              <w:rPr>
                                <w:rFonts w:ascii="Segoe UI" w:hAnsi="Segoe UI" w:cs="Segoe UI"/>
                                <w:color w:val="FFFFFF" w:themeColor="background1"/>
                                <w:szCs w:val="24"/>
                              </w:rPr>
                              <w:t xml:space="preserve"> </w:t>
                            </w:r>
                          </w:p>
                          <w:p w14:paraId="24B8C8A6" w14:textId="0537C279" w:rsidR="00561B49" w:rsidRPr="00C26587" w:rsidRDefault="00561B49" w:rsidP="00711A86">
                            <w:pPr>
                              <w:spacing w:line="276" w:lineRule="auto"/>
                              <w:jc w:val="center"/>
                              <w:rPr>
                                <w:rFonts w:ascii="Segoe UI" w:hAnsi="Segoe UI" w:cs="Segoe UI"/>
                                <w:color w:val="FFFFFF" w:themeColor="background1"/>
                                <w:szCs w:val="24"/>
                              </w:rPr>
                            </w:pPr>
                            <w:r w:rsidRPr="00C26587">
                              <w:rPr>
                                <w:rFonts w:ascii="Segoe UI" w:hAnsi="Segoe UI" w:cs="Segoe UI"/>
                                <w:color w:val="FFFFFF" w:themeColor="background1"/>
                                <w:szCs w:val="24"/>
                              </w:rPr>
                              <w:t>Profesional 2, Unidad de Análisis Estadístico</w:t>
                            </w:r>
                          </w:p>
                          <w:p w14:paraId="5FF64F2F" w14:textId="0A29A46A" w:rsidR="00561B49" w:rsidRPr="00C26587" w:rsidRDefault="00561B49" w:rsidP="00711A86">
                            <w:pPr>
                              <w:spacing w:line="276" w:lineRule="auto"/>
                              <w:jc w:val="center"/>
                              <w:rPr>
                                <w:rFonts w:ascii="Segoe UI" w:hAnsi="Segoe UI" w:cs="Segoe UI"/>
                                <w:color w:val="FFFFFF" w:themeColor="background1"/>
                                <w:szCs w:val="24"/>
                              </w:rPr>
                            </w:pPr>
                            <w:r w:rsidRPr="00C26587">
                              <w:rPr>
                                <w:rFonts w:ascii="Segoe UI" w:hAnsi="Segoe UI" w:cs="Segoe UI"/>
                                <w:b/>
                                <w:bCs/>
                                <w:color w:val="FFFFFF" w:themeColor="background1"/>
                                <w:szCs w:val="24"/>
                              </w:rPr>
                              <w:t xml:space="preserve">Aprobado por: </w:t>
                            </w:r>
                            <w:r w:rsidRPr="00C26587">
                              <w:rPr>
                                <w:rFonts w:ascii="Segoe UI" w:hAnsi="Segoe UI" w:cs="Segoe UI"/>
                                <w:color w:val="FFFFFF" w:themeColor="background1"/>
                                <w:szCs w:val="24"/>
                              </w:rPr>
                              <w:t xml:space="preserve">Licda. Ana Ericka Rodríguez Araya </w:t>
                            </w:r>
                          </w:p>
                          <w:p w14:paraId="0748B7D6" w14:textId="77777777" w:rsidR="00561B49" w:rsidRPr="00C26587" w:rsidRDefault="00561B49" w:rsidP="00711A86">
                            <w:pPr>
                              <w:spacing w:line="276" w:lineRule="auto"/>
                              <w:jc w:val="center"/>
                              <w:rPr>
                                <w:rFonts w:ascii="Segoe UI" w:hAnsi="Segoe UI" w:cs="Segoe UI"/>
                                <w:color w:val="FFFFFF" w:themeColor="background1"/>
                                <w:szCs w:val="24"/>
                              </w:rPr>
                            </w:pPr>
                            <w:r w:rsidRPr="00C26587">
                              <w:rPr>
                                <w:rFonts w:ascii="Segoe UI" w:hAnsi="Segoe UI" w:cs="Segoe UI"/>
                                <w:color w:val="FFFFFF" w:themeColor="background1"/>
                                <w:szCs w:val="24"/>
                              </w:rPr>
                              <w:t>Jefa, Sub Proceso de Estadística</w:t>
                            </w:r>
                          </w:p>
                          <w:p w14:paraId="0BC14697" w14:textId="77777777" w:rsidR="00561B49" w:rsidRPr="00C26587" w:rsidRDefault="00561B49" w:rsidP="00711A86">
                            <w:pPr>
                              <w:spacing w:line="276" w:lineRule="auto"/>
                              <w:jc w:val="center"/>
                              <w:rPr>
                                <w:rFonts w:ascii="Segoe UI" w:hAnsi="Segoe UI" w:cs="Segoe UI"/>
                                <w:b/>
                                <w:bCs/>
                                <w:color w:val="FFFFFF" w:themeColor="background1"/>
                                <w:szCs w:val="24"/>
                              </w:rPr>
                            </w:pPr>
                            <w:r w:rsidRPr="00C26587">
                              <w:rPr>
                                <w:rFonts w:ascii="Segoe UI" w:hAnsi="Segoe UI" w:cs="Segoe UI"/>
                                <w:color w:val="FFFFFF" w:themeColor="background1"/>
                                <w:szCs w:val="24"/>
                              </w:rPr>
                              <w:t xml:space="preserve"> Subproceso de Estadística</w:t>
                            </w:r>
                          </w:p>
                          <w:p w14:paraId="10BDCB07" w14:textId="77777777" w:rsidR="00561B49" w:rsidRPr="009C1231" w:rsidRDefault="00561B49" w:rsidP="00561B49">
                            <w:pPr>
                              <w:rPr>
                                <w:rFonts w:ascii="Segoe UI" w:hAnsi="Segoe UI" w:cs="Segoe UI"/>
                                <w:color w:val="FFFFFF" w:themeColor="background1"/>
                                <w:sz w:val="32"/>
                                <w:szCs w:val="32"/>
                              </w:rPr>
                            </w:pPr>
                          </w:p>
                          <w:p w14:paraId="5C22798C" w14:textId="77777777" w:rsidR="00561B49" w:rsidRPr="00662390" w:rsidRDefault="00561B49" w:rsidP="00561B49">
                            <w:pPr>
                              <w:rPr>
                                <w:rFonts w:cs="Times New Roman"/>
                                <w:color w:val="FFFFFF" w:themeColor="background1"/>
                                <w:sz w:val="32"/>
                                <w:szCs w:val="32"/>
                              </w:rPr>
                            </w:pPr>
                          </w:p>
                          <w:p w14:paraId="319DDDEE" w14:textId="77777777" w:rsidR="00561B49" w:rsidRPr="00662390" w:rsidRDefault="00561B49" w:rsidP="00561B49">
                            <w:pPr>
                              <w:rPr>
                                <w:rFonts w:cs="Times New Roman"/>
                                <w:color w:val="FFFFFF" w:themeColor="background1"/>
                                <w:sz w:val="32"/>
                                <w:szCs w:val="32"/>
                              </w:rPr>
                            </w:pPr>
                          </w:p>
                          <w:p w14:paraId="1057C6C9" w14:textId="77777777" w:rsidR="00561B49" w:rsidRDefault="00561B49" w:rsidP="00561B49"/>
                          <w:tbl>
                            <w:tblPr>
                              <w:tblW w:w="9350" w:type="dxa"/>
                              <w:tblInd w:w="1723" w:type="dxa"/>
                              <w:tblLook w:val="04A0" w:firstRow="1" w:lastRow="0" w:firstColumn="1" w:lastColumn="0" w:noHBand="0" w:noVBand="1"/>
                            </w:tblPr>
                            <w:tblGrid>
                              <w:gridCol w:w="4675"/>
                              <w:gridCol w:w="4675"/>
                            </w:tblGrid>
                            <w:tr w:rsidR="00561B49" w14:paraId="73D02476" w14:textId="77777777" w:rsidTr="009C1231">
                              <w:tc>
                                <w:tcPr>
                                  <w:tcW w:w="4675" w:type="dxa"/>
                                </w:tcPr>
                                <w:p w14:paraId="1271BFE6" w14:textId="77777777" w:rsidR="00561B49" w:rsidRDefault="00561B49" w:rsidP="009C1231"/>
                              </w:tc>
                              <w:tc>
                                <w:tcPr>
                                  <w:tcW w:w="4675" w:type="dxa"/>
                                </w:tcPr>
                                <w:p w14:paraId="30DB9AD8" w14:textId="77777777" w:rsidR="00561B49" w:rsidRDefault="00561B49" w:rsidP="009C1231"/>
                              </w:tc>
                            </w:tr>
                            <w:tr w:rsidR="00561B49" w14:paraId="4C285754" w14:textId="77777777" w:rsidTr="009C1231">
                              <w:tc>
                                <w:tcPr>
                                  <w:tcW w:w="4675" w:type="dxa"/>
                                </w:tcPr>
                                <w:p w14:paraId="1313B476" w14:textId="77777777" w:rsidR="00561B49" w:rsidRDefault="00561B49" w:rsidP="009C1231"/>
                              </w:tc>
                              <w:tc>
                                <w:tcPr>
                                  <w:tcW w:w="4675" w:type="dxa"/>
                                </w:tcPr>
                                <w:p w14:paraId="75FED46D" w14:textId="77777777" w:rsidR="00561B49" w:rsidRDefault="00561B49" w:rsidP="009C1231"/>
                              </w:tc>
                            </w:tr>
                            <w:tr w:rsidR="00561B49" w14:paraId="68CCA1B1" w14:textId="77777777" w:rsidTr="009C1231">
                              <w:tc>
                                <w:tcPr>
                                  <w:tcW w:w="4675" w:type="dxa"/>
                                </w:tcPr>
                                <w:p w14:paraId="42AB0390" w14:textId="77777777" w:rsidR="00561B49" w:rsidRDefault="00561B49" w:rsidP="009C1231"/>
                              </w:tc>
                              <w:tc>
                                <w:tcPr>
                                  <w:tcW w:w="4675" w:type="dxa"/>
                                </w:tcPr>
                                <w:p w14:paraId="35B4812E" w14:textId="77777777" w:rsidR="00561B49" w:rsidRDefault="00561B49" w:rsidP="009C1231"/>
                              </w:tc>
                            </w:tr>
                            <w:tr w:rsidR="00561B49" w14:paraId="1B5B1DFC" w14:textId="77777777" w:rsidTr="009C1231">
                              <w:tc>
                                <w:tcPr>
                                  <w:tcW w:w="4675" w:type="dxa"/>
                                </w:tcPr>
                                <w:p w14:paraId="0D63F74B" w14:textId="77777777" w:rsidR="00561B49" w:rsidRDefault="00561B49" w:rsidP="009C1231"/>
                              </w:tc>
                              <w:tc>
                                <w:tcPr>
                                  <w:tcW w:w="4675" w:type="dxa"/>
                                </w:tcPr>
                                <w:p w14:paraId="4F12B29D" w14:textId="77777777" w:rsidR="00561B49" w:rsidRDefault="00561B49" w:rsidP="009C1231"/>
                              </w:tc>
                            </w:tr>
                          </w:tbl>
                          <w:p w14:paraId="119A0412" w14:textId="77777777" w:rsidR="00561B49" w:rsidRPr="009C1231" w:rsidRDefault="00561B49" w:rsidP="00561B49">
                            <w:pPr>
                              <w:jc w:val="center"/>
                              <w:rPr>
                                <w:rFonts w:ascii="Segoe UI" w:hAnsi="Segoe UI" w:cs="Segoe UI"/>
                                <w:color w:val="FFFFFF" w:themeColor="background1"/>
                                <w:sz w:val="28"/>
                                <w:szCs w:val="28"/>
                              </w:rPr>
                            </w:pPr>
                            <w:r w:rsidRPr="009C1231">
                              <w:rPr>
                                <w:rFonts w:ascii="Segoe UI" w:hAnsi="Segoe UI" w:cs="Segoe UI"/>
                                <w:b/>
                                <w:bCs/>
                                <w:color w:val="FFFFFF" w:themeColor="background1"/>
                                <w:sz w:val="28"/>
                                <w:szCs w:val="28"/>
                              </w:rPr>
                              <w:t xml:space="preserve"> Elaborado por: </w:t>
                            </w:r>
                            <w:r w:rsidRPr="009C1231">
                              <w:rPr>
                                <w:rFonts w:ascii="Segoe UI" w:hAnsi="Segoe UI" w:cs="Segoe UI"/>
                                <w:color w:val="FFFFFF" w:themeColor="background1"/>
                                <w:sz w:val="28"/>
                                <w:szCs w:val="28"/>
                              </w:rPr>
                              <w:t>Licda. María Gómez Rodríguez, Profesional 2</w:t>
                            </w:r>
                          </w:p>
                          <w:p w14:paraId="5C9AF0DE" w14:textId="77777777" w:rsidR="00561B49" w:rsidRPr="009C1231" w:rsidRDefault="00561B49" w:rsidP="00561B49">
                            <w:pPr>
                              <w:jc w:val="center"/>
                              <w:rPr>
                                <w:rFonts w:ascii="Segoe UI" w:hAnsi="Segoe UI" w:cs="Segoe UI"/>
                                <w:color w:val="FFFFFF" w:themeColor="background1"/>
                                <w:sz w:val="28"/>
                                <w:szCs w:val="28"/>
                              </w:rPr>
                            </w:pPr>
                            <w:r w:rsidRPr="009C1231">
                              <w:rPr>
                                <w:rFonts w:ascii="Segoe UI" w:hAnsi="Segoe UI" w:cs="Segoe UI"/>
                                <w:b/>
                                <w:bCs/>
                                <w:color w:val="FFFFFF" w:themeColor="background1"/>
                                <w:sz w:val="28"/>
                                <w:szCs w:val="28"/>
                              </w:rPr>
                              <w:t xml:space="preserve">Revisado por: </w:t>
                            </w:r>
                            <w:r w:rsidRPr="009C1231">
                              <w:rPr>
                                <w:rFonts w:ascii="Segoe UI" w:hAnsi="Segoe UI" w:cs="Segoe UI"/>
                                <w:color w:val="FFFFFF" w:themeColor="background1"/>
                                <w:sz w:val="28"/>
                                <w:szCs w:val="28"/>
                              </w:rPr>
                              <w:t>Licda. Marlen Vargas Benavides, Coordinadora de Unidad</w:t>
                            </w:r>
                          </w:p>
                          <w:p w14:paraId="3F1755AE" w14:textId="77777777" w:rsidR="00561B49" w:rsidRPr="009C1231" w:rsidRDefault="00561B49" w:rsidP="00561B49">
                            <w:pPr>
                              <w:jc w:val="center"/>
                              <w:rPr>
                                <w:rFonts w:ascii="Segoe UI" w:hAnsi="Segoe UI" w:cs="Segoe UI"/>
                                <w:b/>
                                <w:bCs/>
                                <w:color w:val="FFFFFF" w:themeColor="background1"/>
                                <w:sz w:val="28"/>
                                <w:szCs w:val="28"/>
                              </w:rPr>
                            </w:pPr>
                            <w:r w:rsidRPr="009C1231">
                              <w:rPr>
                                <w:rFonts w:ascii="Segoe UI" w:hAnsi="Segoe UI" w:cs="Segoe UI"/>
                                <w:b/>
                                <w:bCs/>
                                <w:color w:val="FFFFFF" w:themeColor="background1"/>
                                <w:sz w:val="28"/>
                                <w:szCs w:val="28"/>
                              </w:rPr>
                              <w:t xml:space="preserve">Aprobado por: </w:t>
                            </w:r>
                            <w:r w:rsidRPr="009C1231">
                              <w:rPr>
                                <w:rFonts w:ascii="Segoe UI" w:hAnsi="Segoe UI" w:cs="Segoe UI"/>
                                <w:color w:val="FFFFFF" w:themeColor="background1"/>
                                <w:sz w:val="28"/>
                                <w:szCs w:val="28"/>
                              </w:rPr>
                              <w:t>Licda. Marlen Vargas Benavides, Coordinadora de Unidad</w:t>
                            </w:r>
                          </w:p>
                          <w:p w14:paraId="7D3ED6AA" w14:textId="77777777" w:rsidR="00561B49" w:rsidRPr="009C1231" w:rsidRDefault="00561B49" w:rsidP="00561B49">
                            <w:pPr>
                              <w:rPr>
                                <w:rFonts w:ascii="Segoe UI" w:hAnsi="Segoe UI" w:cs="Segoe UI"/>
                                <w:color w:val="FFFFFF" w:themeColor="background1"/>
                                <w:sz w:val="32"/>
                                <w:szCs w:val="32"/>
                              </w:rPr>
                            </w:pPr>
                          </w:p>
                          <w:p w14:paraId="6EBE2B85" w14:textId="77777777" w:rsidR="00561B49" w:rsidRPr="00662390" w:rsidRDefault="00561B49" w:rsidP="00561B49">
                            <w:pPr>
                              <w:rPr>
                                <w:rFonts w:cs="Times New Roman"/>
                                <w:color w:val="FFFFFF" w:themeColor="background1"/>
                                <w:sz w:val="32"/>
                                <w:szCs w:val="32"/>
                              </w:rPr>
                            </w:pPr>
                          </w:p>
                          <w:p w14:paraId="10987F96" w14:textId="77777777" w:rsidR="00561B49" w:rsidRPr="00662390" w:rsidRDefault="00561B49" w:rsidP="00561B49">
                            <w:pPr>
                              <w:rPr>
                                <w:rFonts w:cs="Times New Roman"/>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C2C12" id="Cuadro de texto 4" o:spid="_x0000_s1027" type="#_x0000_t202" style="position:absolute;left:0;text-align:left;margin-left:8.25pt;margin-top:0;width:3.6pt;height:5.75pt;z-index:251660288;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" filled="f" stroked="f">
                <v:textbox>
                  <w:txbxContent>
                    <w:p w14:paraId="472C50EE" w14:textId="51EB187A" w:rsidR="00711A86" w:rsidRDefault="00561B49" w:rsidP="00711A86">
                      <w:pPr>
                        <w:spacing w:line="276" w:lineRule="auto"/>
                        <w:jc w:val="center"/>
                        <w:rPr>
                          <w:rFonts w:ascii="Segoe UI" w:hAnsi="Segoe UI" w:cs="Segoe UI"/>
                          <w:color w:val="FFFFFF" w:themeColor="background1"/>
                          <w:szCs w:val="24"/>
                        </w:rPr>
                      </w:pPr>
                      <w:r w:rsidRPr="00C26587">
                        <w:rPr>
                          <w:rFonts w:ascii="Segoe UI" w:hAnsi="Segoe UI" w:cs="Segoe UI"/>
                          <w:b/>
                          <w:bCs/>
                          <w:color w:val="FFFFFF" w:themeColor="background1"/>
                          <w:szCs w:val="24"/>
                        </w:rPr>
                        <w:t xml:space="preserve">Elaborado por: </w:t>
                      </w:r>
                      <w:r w:rsidR="00711A86">
                        <w:rPr>
                          <w:rFonts w:ascii="Segoe UI" w:hAnsi="Segoe UI" w:cs="Segoe UI"/>
                          <w:color w:val="FFFFFF" w:themeColor="background1"/>
                          <w:szCs w:val="24"/>
                        </w:rPr>
                        <w:t>Lic.</w:t>
                      </w:r>
                      <w:r w:rsidRPr="00C26587">
                        <w:rPr>
                          <w:rFonts w:ascii="Segoe UI" w:hAnsi="Segoe UI" w:cs="Segoe UI"/>
                          <w:color w:val="FFFFFF" w:themeColor="background1"/>
                          <w:szCs w:val="24"/>
                        </w:rPr>
                        <w:t xml:space="preserve"> </w:t>
                      </w:r>
                    </w:p>
                    <w:p w14:paraId="24B8C8A6" w14:textId="0537C279" w:rsidR="00561B49" w:rsidRPr="00C26587" w:rsidRDefault="00561B49" w:rsidP="00711A86">
                      <w:pPr>
                        <w:spacing w:line="276" w:lineRule="auto"/>
                        <w:jc w:val="center"/>
                        <w:rPr>
                          <w:rFonts w:ascii="Segoe UI" w:hAnsi="Segoe UI" w:cs="Segoe UI"/>
                          <w:color w:val="FFFFFF" w:themeColor="background1"/>
                          <w:szCs w:val="24"/>
                        </w:rPr>
                      </w:pPr>
                      <w:r w:rsidRPr="00C26587">
                        <w:rPr>
                          <w:rFonts w:ascii="Segoe UI" w:hAnsi="Segoe UI" w:cs="Segoe UI"/>
                          <w:color w:val="FFFFFF" w:themeColor="background1"/>
                          <w:szCs w:val="24"/>
                        </w:rPr>
                        <w:t>Profesional 2, Unidad de Análisis Estadístico</w:t>
                      </w:r>
                    </w:p>
                    <w:p w14:paraId="5FF64F2F" w14:textId="0A29A46A" w:rsidR="00561B49" w:rsidRPr="00C26587" w:rsidRDefault="00561B49" w:rsidP="00711A86">
                      <w:pPr>
                        <w:spacing w:line="276" w:lineRule="auto"/>
                        <w:jc w:val="center"/>
                        <w:rPr>
                          <w:rFonts w:ascii="Segoe UI" w:hAnsi="Segoe UI" w:cs="Segoe UI"/>
                          <w:color w:val="FFFFFF" w:themeColor="background1"/>
                          <w:szCs w:val="24"/>
                        </w:rPr>
                      </w:pPr>
                      <w:r w:rsidRPr="00C26587">
                        <w:rPr>
                          <w:rFonts w:ascii="Segoe UI" w:hAnsi="Segoe UI" w:cs="Segoe UI"/>
                          <w:b/>
                          <w:bCs/>
                          <w:color w:val="FFFFFF" w:themeColor="background1"/>
                          <w:szCs w:val="24"/>
                        </w:rPr>
                        <w:t xml:space="preserve">Aprobado por: </w:t>
                      </w:r>
                      <w:r w:rsidRPr="00C26587">
                        <w:rPr>
                          <w:rFonts w:ascii="Segoe UI" w:hAnsi="Segoe UI" w:cs="Segoe UI"/>
                          <w:color w:val="FFFFFF" w:themeColor="background1"/>
                          <w:szCs w:val="24"/>
                        </w:rPr>
                        <w:t xml:space="preserve">Licda. Ana Ericka Rodríguez Araya </w:t>
                      </w:r>
                    </w:p>
                    <w:p w14:paraId="0748B7D6" w14:textId="77777777" w:rsidR="00561B49" w:rsidRPr="00C26587" w:rsidRDefault="00561B49" w:rsidP="00711A86">
                      <w:pPr>
                        <w:spacing w:line="276" w:lineRule="auto"/>
                        <w:jc w:val="center"/>
                        <w:rPr>
                          <w:rFonts w:ascii="Segoe UI" w:hAnsi="Segoe UI" w:cs="Segoe UI"/>
                          <w:color w:val="FFFFFF" w:themeColor="background1"/>
                          <w:szCs w:val="24"/>
                        </w:rPr>
                      </w:pPr>
                      <w:r w:rsidRPr="00C26587">
                        <w:rPr>
                          <w:rFonts w:ascii="Segoe UI" w:hAnsi="Segoe UI" w:cs="Segoe UI"/>
                          <w:color w:val="FFFFFF" w:themeColor="background1"/>
                          <w:szCs w:val="24"/>
                        </w:rPr>
                        <w:t>Jefa, Sub Proceso de Estadística</w:t>
                      </w:r>
                    </w:p>
                    <w:p w14:paraId="0BC14697" w14:textId="77777777" w:rsidR="00561B49" w:rsidRPr="00C26587" w:rsidRDefault="00561B49" w:rsidP="00711A86">
                      <w:pPr>
                        <w:spacing w:line="276" w:lineRule="auto"/>
                        <w:jc w:val="center"/>
                        <w:rPr>
                          <w:rFonts w:ascii="Segoe UI" w:hAnsi="Segoe UI" w:cs="Segoe UI"/>
                          <w:b/>
                          <w:bCs/>
                          <w:color w:val="FFFFFF" w:themeColor="background1"/>
                          <w:szCs w:val="24"/>
                        </w:rPr>
                      </w:pPr>
                      <w:r w:rsidRPr="00C26587">
                        <w:rPr>
                          <w:rFonts w:ascii="Segoe UI" w:hAnsi="Segoe UI" w:cs="Segoe UI"/>
                          <w:color w:val="FFFFFF" w:themeColor="background1"/>
                          <w:szCs w:val="24"/>
                        </w:rPr>
                        <w:t xml:space="preserve"> Subproceso de Estadística</w:t>
                      </w:r>
                    </w:p>
                    <w:p w14:paraId="10BDCB07" w14:textId="77777777" w:rsidR="00561B49" w:rsidRPr="009C1231" w:rsidRDefault="00561B49" w:rsidP="00561B49">
                      <w:pPr>
                        <w:rPr>
                          <w:rFonts w:ascii="Segoe UI" w:hAnsi="Segoe UI" w:cs="Segoe UI"/>
                          <w:color w:val="FFFFFF" w:themeColor="background1"/>
                          <w:sz w:val="32"/>
                          <w:szCs w:val="32"/>
                        </w:rPr>
                      </w:pPr>
                    </w:p>
                    <w:p w14:paraId="5C22798C" w14:textId="77777777" w:rsidR="00561B49" w:rsidRPr="00662390" w:rsidRDefault="00561B49" w:rsidP="00561B49">
                      <w:pPr>
                        <w:rPr>
                          <w:rFonts w:cs="Times New Roman"/>
                          <w:color w:val="FFFFFF" w:themeColor="background1"/>
                          <w:sz w:val="32"/>
                          <w:szCs w:val="32"/>
                        </w:rPr>
                      </w:pPr>
                    </w:p>
                    <w:p w14:paraId="319DDDEE" w14:textId="77777777" w:rsidR="00561B49" w:rsidRPr="00662390" w:rsidRDefault="00561B49" w:rsidP="00561B49">
                      <w:pPr>
                        <w:rPr>
                          <w:rFonts w:cs="Times New Roman"/>
                          <w:color w:val="FFFFFF" w:themeColor="background1"/>
                          <w:sz w:val="32"/>
                          <w:szCs w:val="32"/>
                        </w:rPr>
                      </w:pPr>
                    </w:p>
                    <w:p w14:paraId="1057C6C9" w14:textId="77777777" w:rsidR="00561B49" w:rsidRDefault="00561B49" w:rsidP="00561B49"/>
                    <w:tbl>
                      <w:tblPr>
                        <w:tblW w:w="9350" w:type="dxa"/>
                        <w:tblInd w:w="1723" w:type="dxa"/>
                        <w:tblLook w:val="04A0" w:firstRow="1" w:lastRow="0" w:firstColumn="1" w:lastColumn="0" w:noHBand="0" w:noVBand="1"/>
                      </w:tblPr>
                      <w:tblGrid>
                        <w:gridCol w:w="4675"/>
                        <w:gridCol w:w="4675"/>
                      </w:tblGrid>
                      <w:tr w:rsidR="00561B49" w14:paraId="73D02476" w14:textId="77777777" w:rsidTr="009C1231">
                        <w:tc>
                          <w:tcPr>
                            <w:tcW w:w="4675" w:type="dxa"/>
                          </w:tcPr>
                          <w:p w14:paraId="1271BFE6" w14:textId="77777777" w:rsidR="00561B49" w:rsidRDefault="00561B49" w:rsidP="009C1231"/>
                        </w:tc>
                        <w:tc>
                          <w:tcPr>
                            <w:tcW w:w="4675" w:type="dxa"/>
                          </w:tcPr>
                          <w:p w14:paraId="30DB9AD8" w14:textId="77777777" w:rsidR="00561B49" w:rsidRDefault="00561B49" w:rsidP="009C1231"/>
                        </w:tc>
                      </w:tr>
                      <w:tr w:rsidR="00561B49" w14:paraId="4C285754" w14:textId="77777777" w:rsidTr="009C1231">
                        <w:tc>
                          <w:tcPr>
                            <w:tcW w:w="4675" w:type="dxa"/>
                          </w:tcPr>
                          <w:p w14:paraId="1313B476" w14:textId="77777777" w:rsidR="00561B49" w:rsidRDefault="00561B49" w:rsidP="009C1231"/>
                        </w:tc>
                        <w:tc>
                          <w:tcPr>
                            <w:tcW w:w="4675" w:type="dxa"/>
                          </w:tcPr>
                          <w:p w14:paraId="75FED46D" w14:textId="77777777" w:rsidR="00561B49" w:rsidRDefault="00561B49" w:rsidP="009C1231"/>
                        </w:tc>
                      </w:tr>
                      <w:tr w:rsidR="00561B49" w14:paraId="68CCA1B1" w14:textId="77777777" w:rsidTr="009C1231">
                        <w:tc>
                          <w:tcPr>
                            <w:tcW w:w="4675" w:type="dxa"/>
                          </w:tcPr>
                          <w:p w14:paraId="42AB0390" w14:textId="77777777" w:rsidR="00561B49" w:rsidRDefault="00561B49" w:rsidP="009C1231"/>
                        </w:tc>
                        <w:tc>
                          <w:tcPr>
                            <w:tcW w:w="4675" w:type="dxa"/>
                          </w:tcPr>
                          <w:p w14:paraId="35B4812E" w14:textId="77777777" w:rsidR="00561B49" w:rsidRDefault="00561B49" w:rsidP="009C1231"/>
                        </w:tc>
                      </w:tr>
                      <w:tr w:rsidR="00561B49" w14:paraId="1B5B1DFC" w14:textId="77777777" w:rsidTr="009C1231">
                        <w:tc>
                          <w:tcPr>
                            <w:tcW w:w="4675" w:type="dxa"/>
                          </w:tcPr>
                          <w:p w14:paraId="0D63F74B" w14:textId="77777777" w:rsidR="00561B49" w:rsidRDefault="00561B49" w:rsidP="009C1231"/>
                        </w:tc>
                        <w:tc>
                          <w:tcPr>
                            <w:tcW w:w="4675" w:type="dxa"/>
                          </w:tcPr>
                          <w:p w14:paraId="4F12B29D" w14:textId="77777777" w:rsidR="00561B49" w:rsidRDefault="00561B49" w:rsidP="009C1231"/>
                        </w:tc>
                      </w:tr>
                    </w:tbl>
                    <w:p w14:paraId="119A0412" w14:textId="77777777" w:rsidR="00561B49" w:rsidRPr="009C1231" w:rsidRDefault="00561B49" w:rsidP="00561B49">
                      <w:pPr>
                        <w:jc w:val="center"/>
                        <w:rPr>
                          <w:rFonts w:ascii="Segoe UI" w:hAnsi="Segoe UI" w:cs="Segoe UI"/>
                          <w:color w:val="FFFFFF" w:themeColor="background1"/>
                          <w:sz w:val="28"/>
                          <w:szCs w:val="28"/>
                        </w:rPr>
                      </w:pPr>
                      <w:r w:rsidRPr="009C1231">
                        <w:rPr>
                          <w:rFonts w:ascii="Segoe UI" w:hAnsi="Segoe UI" w:cs="Segoe UI"/>
                          <w:b/>
                          <w:bCs/>
                          <w:color w:val="FFFFFF" w:themeColor="background1"/>
                          <w:sz w:val="28"/>
                          <w:szCs w:val="28"/>
                        </w:rPr>
                        <w:t xml:space="preserve"> Elaborado por: </w:t>
                      </w:r>
                      <w:r w:rsidRPr="009C1231">
                        <w:rPr>
                          <w:rFonts w:ascii="Segoe UI" w:hAnsi="Segoe UI" w:cs="Segoe UI"/>
                          <w:color w:val="FFFFFF" w:themeColor="background1"/>
                          <w:sz w:val="28"/>
                          <w:szCs w:val="28"/>
                        </w:rPr>
                        <w:t>Licda. María Gómez Rodríguez, Profesional 2</w:t>
                      </w:r>
                    </w:p>
                    <w:p w14:paraId="5C9AF0DE" w14:textId="77777777" w:rsidR="00561B49" w:rsidRPr="009C1231" w:rsidRDefault="00561B49" w:rsidP="00561B49">
                      <w:pPr>
                        <w:jc w:val="center"/>
                        <w:rPr>
                          <w:rFonts w:ascii="Segoe UI" w:hAnsi="Segoe UI" w:cs="Segoe UI"/>
                          <w:color w:val="FFFFFF" w:themeColor="background1"/>
                          <w:sz w:val="28"/>
                          <w:szCs w:val="28"/>
                        </w:rPr>
                      </w:pPr>
                      <w:r w:rsidRPr="009C1231">
                        <w:rPr>
                          <w:rFonts w:ascii="Segoe UI" w:hAnsi="Segoe UI" w:cs="Segoe UI"/>
                          <w:b/>
                          <w:bCs/>
                          <w:color w:val="FFFFFF" w:themeColor="background1"/>
                          <w:sz w:val="28"/>
                          <w:szCs w:val="28"/>
                        </w:rPr>
                        <w:t xml:space="preserve">Revisado por: </w:t>
                      </w:r>
                      <w:r w:rsidRPr="009C1231">
                        <w:rPr>
                          <w:rFonts w:ascii="Segoe UI" w:hAnsi="Segoe UI" w:cs="Segoe UI"/>
                          <w:color w:val="FFFFFF" w:themeColor="background1"/>
                          <w:sz w:val="28"/>
                          <w:szCs w:val="28"/>
                        </w:rPr>
                        <w:t>Licda. Marlen Vargas Benavides, Coordinadora de Unidad</w:t>
                      </w:r>
                    </w:p>
                    <w:p w14:paraId="3F1755AE" w14:textId="77777777" w:rsidR="00561B49" w:rsidRPr="009C1231" w:rsidRDefault="00561B49" w:rsidP="00561B49">
                      <w:pPr>
                        <w:jc w:val="center"/>
                        <w:rPr>
                          <w:rFonts w:ascii="Segoe UI" w:hAnsi="Segoe UI" w:cs="Segoe UI"/>
                          <w:b/>
                          <w:bCs/>
                          <w:color w:val="FFFFFF" w:themeColor="background1"/>
                          <w:sz w:val="28"/>
                          <w:szCs w:val="28"/>
                        </w:rPr>
                      </w:pPr>
                      <w:r w:rsidRPr="009C1231">
                        <w:rPr>
                          <w:rFonts w:ascii="Segoe UI" w:hAnsi="Segoe UI" w:cs="Segoe UI"/>
                          <w:b/>
                          <w:bCs/>
                          <w:color w:val="FFFFFF" w:themeColor="background1"/>
                          <w:sz w:val="28"/>
                          <w:szCs w:val="28"/>
                        </w:rPr>
                        <w:t xml:space="preserve">Aprobado por: </w:t>
                      </w:r>
                      <w:r w:rsidRPr="009C1231">
                        <w:rPr>
                          <w:rFonts w:ascii="Segoe UI" w:hAnsi="Segoe UI" w:cs="Segoe UI"/>
                          <w:color w:val="FFFFFF" w:themeColor="background1"/>
                          <w:sz w:val="28"/>
                          <w:szCs w:val="28"/>
                        </w:rPr>
                        <w:t>Licda. Marlen Vargas Benavides, Coordinadora de Unidad</w:t>
                      </w:r>
                    </w:p>
                    <w:p w14:paraId="7D3ED6AA" w14:textId="77777777" w:rsidR="00561B49" w:rsidRPr="009C1231" w:rsidRDefault="00561B49" w:rsidP="00561B49">
                      <w:pPr>
                        <w:rPr>
                          <w:rFonts w:ascii="Segoe UI" w:hAnsi="Segoe UI" w:cs="Segoe UI"/>
                          <w:color w:val="FFFFFF" w:themeColor="background1"/>
                          <w:sz w:val="32"/>
                          <w:szCs w:val="32"/>
                        </w:rPr>
                      </w:pPr>
                    </w:p>
                    <w:p w14:paraId="6EBE2B85" w14:textId="77777777" w:rsidR="00561B49" w:rsidRPr="00662390" w:rsidRDefault="00561B49" w:rsidP="00561B49">
                      <w:pPr>
                        <w:rPr>
                          <w:rFonts w:cs="Times New Roman"/>
                          <w:color w:val="FFFFFF" w:themeColor="background1"/>
                          <w:sz w:val="32"/>
                          <w:szCs w:val="32"/>
                        </w:rPr>
                      </w:pPr>
                    </w:p>
                    <w:p w14:paraId="10987F96" w14:textId="77777777" w:rsidR="00561B49" w:rsidRPr="00662390" w:rsidRDefault="00561B49" w:rsidP="00561B49">
                      <w:pPr>
                        <w:rPr>
                          <w:rFonts w:cs="Times New Roman"/>
                          <w:color w:val="FFFFFF" w:themeColor="background1"/>
                          <w:sz w:val="32"/>
                          <w:szCs w:val="32"/>
                        </w:rPr>
                      </w:pPr>
                    </w:p>
                  </w:txbxContent>
                </v:textbox>
                <w10:wrap anchorx="margin" anchory="margin"/>
              </v:shape>
            </w:pict>
          </mc:Fallback>
        </mc:AlternateContent>
      </w:r>
      <w:r>
        <w:rPr>
          <w:b/>
          <w:bCs/>
        </w:rPr>
        <w:t xml:space="preserve"> *</w:t>
      </w:r>
    </w:p>
    <w:p w14:paraId="4860989A" w14:textId="51987CDA" w:rsidR="00C26587" w:rsidRDefault="000639E0" w:rsidP="00561B49">
      <w:r w:rsidRPr="001273C2">
        <w:rPr>
          <w:noProof/>
        </w:rPr>
        <w:drawing>
          <wp:anchor distT="0" distB="0" distL="114300" distR="114300" simplePos="0" relativeHeight="251661312" behindDoc="0" locked="0" layoutInCell="1" allowOverlap="1" wp14:anchorId="69C87B3D" wp14:editId="656F8E5F">
            <wp:simplePos x="0" y="0"/>
            <wp:positionH relativeFrom="page">
              <wp:posOffset>-671830</wp:posOffset>
            </wp:positionH>
            <wp:positionV relativeFrom="page">
              <wp:posOffset>160020</wp:posOffset>
            </wp:positionV>
            <wp:extent cx="554355" cy="10125710"/>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 cy="10125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39CC5F" w14:textId="7DD0E2C4" w:rsidR="000639E0" w:rsidRDefault="000639E0" w:rsidP="00561B49"/>
    <w:p w14:paraId="727E36B0" w14:textId="59EDF0C0" w:rsidR="000639E0" w:rsidRDefault="000639E0" w:rsidP="00561B49">
      <w:pPr>
        <w:sectPr w:rsidR="000639E0" w:rsidSect="0017097B">
          <w:pgSz w:w="12240" w:h="15840"/>
          <w:pgMar w:top="1440" w:right="1440" w:bottom="1440" w:left="1440" w:header="708" w:footer="708" w:gutter="0"/>
          <w:cols w:space="708"/>
          <w:titlePg/>
          <w:docGrid w:linePitch="360"/>
        </w:sectPr>
      </w:pPr>
    </w:p>
    <w:p w14:paraId="6F04E509" w14:textId="5205356B" w:rsidR="00561B49" w:rsidRPr="005D00C4" w:rsidRDefault="00561B49" w:rsidP="00561B49">
      <w:pPr>
        <w:pStyle w:val="Ttulo1"/>
        <w:spacing w:line="276" w:lineRule="auto"/>
        <w:rPr>
          <w:rFonts w:ascii="Cambria" w:hAnsi="Cambria" w:cs="Times New Roman"/>
          <w:b/>
          <w:bCs/>
          <w:color w:val="1E9BD7"/>
          <w:sz w:val="28"/>
          <w:szCs w:val="28"/>
        </w:rPr>
      </w:pPr>
      <w:bookmarkStart w:id="0" w:name="_Toc74138065"/>
      <w:bookmarkStart w:id="1" w:name="_Toc87005900"/>
      <w:bookmarkStart w:id="2" w:name="_Toc95402045"/>
      <w:bookmarkStart w:id="3" w:name="_Toc114130271"/>
      <w:r w:rsidRPr="005D00C4">
        <w:rPr>
          <w:rFonts w:ascii="Cambria" w:hAnsi="Cambria"/>
          <w:noProof/>
          <w:color w:val="1E9BD7"/>
        </w:rPr>
        <w:drawing>
          <wp:anchor distT="0" distB="0" distL="114300" distR="114300" simplePos="0" relativeHeight="251662336" behindDoc="0" locked="0" layoutInCell="1" allowOverlap="1" wp14:anchorId="11762B4E" wp14:editId="77511FEC">
            <wp:simplePos x="0" y="0"/>
            <wp:positionH relativeFrom="margin">
              <wp:align>left</wp:align>
            </wp:positionH>
            <wp:positionV relativeFrom="paragraph">
              <wp:posOffset>89231</wp:posOffset>
            </wp:positionV>
            <wp:extent cx="217805" cy="217805"/>
            <wp:effectExtent l="0" t="0" r="0" b="0"/>
            <wp:wrapSquare wrapText="bothSides"/>
            <wp:docPr id="39" name="Gráfico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7805" cy="217805"/>
                    </a:xfrm>
                    <a:prstGeom prst="rect">
                      <a:avLst/>
                    </a:prstGeom>
                  </pic:spPr>
                </pic:pic>
              </a:graphicData>
            </a:graphic>
            <wp14:sizeRelH relativeFrom="margin">
              <wp14:pctWidth>0</wp14:pctWidth>
            </wp14:sizeRelH>
            <wp14:sizeRelV relativeFrom="margin">
              <wp14:pctHeight>0</wp14:pctHeight>
            </wp14:sizeRelV>
          </wp:anchor>
        </w:drawing>
      </w:r>
      <w:r w:rsidRPr="005D00C4">
        <w:rPr>
          <w:rFonts w:ascii="Cambria" w:hAnsi="Cambria" w:cs="Times New Roman"/>
          <w:b/>
          <w:bCs/>
          <w:color w:val="1E9BD7"/>
          <w:sz w:val="28"/>
          <w:szCs w:val="28"/>
        </w:rPr>
        <w:t xml:space="preserve">Hechos </w:t>
      </w:r>
      <w:r>
        <w:rPr>
          <w:rFonts w:ascii="Cambria" w:hAnsi="Cambria" w:cs="Times New Roman"/>
          <w:b/>
          <w:bCs/>
          <w:color w:val="1E9BD7"/>
          <w:sz w:val="28"/>
          <w:szCs w:val="28"/>
        </w:rPr>
        <w:t>R</w:t>
      </w:r>
      <w:r w:rsidRPr="005D00C4">
        <w:rPr>
          <w:rFonts w:ascii="Cambria" w:hAnsi="Cambria" w:cs="Times New Roman"/>
          <w:b/>
          <w:bCs/>
          <w:color w:val="1E9BD7"/>
          <w:sz w:val="28"/>
          <w:szCs w:val="28"/>
        </w:rPr>
        <w:t>elevantes</w:t>
      </w:r>
      <w:bookmarkEnd w:id="0"/>
      <w:bookmarkEnd w:id="1"/>
      <w:bookmarkEnd w:id="2"/>
      <w:bookmarkEnd w:id="3"/>
    </w:p>
    <w:p w14:paraId="3B96C884" w14:textId="77777777" w:rsidR="00711A86" w:rsidRDefault="00711A86" w:rsidP="00561B49">
      <w:pPr>
        <w:spacing w:line="276" w:lineRule="auto"/>
        <w:rPr>
          <w:rFonts w:ascii="Cambria" w:hAnsi="Cambria" w:cs="Times New Roman"/>
          <w:color w:val="262626" w:themeColor="text1" w:themeTint="D9"/>
          <w:szCs w:val="24"/>
        </w:rPr>
      </w:pPr>
    </w:p>
    <w:p w14:paraId="40FA7D63" w14:textId="43BCC322" w:rsidR="00561B49" w:rsidRDefault="00711A86" w:rsidP="00561B49">
      <w:pPr>
        <w:spacing w:line="276" w:lineRule="auto"/>
        <w:rPr>
          <w:rFonts w:ascii="Cambria" w:hAnsi="Cambria" w:cs="Times New Roman"/>
          <w:color w:val="262626" w:themeColor="text1" w:themeTint="D9"/>
          <w:szCs w:val="24"/>
        </w:rPr>
      </w:pPr>
      <w:r w:rsidRPr="00711A86">
        <w:rPr>
          <w:rFonts w:ascii="Cambria" w:hAnsi="Cambria" w:cs="Times New Roman"/>
          <w:color w:val="262626" w:themeColor="text1" w:themeTint="D9"/>
          <w:szCs w:val="24"/>
        </w:rPr>
        <w:t>El siguiente cuadro muestra un resumen histórico de indicadores de gestión de las materias que atiende la Sala Segunda, la última columna detalla la cantidad absoluta que creció o decreció el indicador del 2021 con respecto al año anterior. La serie de datos se muestra a partir del 2018, año en el que la institución logra el 100% de cobertura nacional a través de la plataforma llamada “SIGMA”, la cual permite la extracción de datos mediante reportes diseñados y centralizados por el Subproceso de Estadística.</w:t>
      </w:r>
    </w:p>
    <w:p w14:paraId="650D2120" w14:textId="77777777" w:rsidR="00711A86" w:rsidRPr="005208A5" w:rsidRDefault="00711A86" w:rsidP="00561B49">
      <w:pPr>
        <w:spacing w:line="276" w:lineRule="auto"/>
        <w:rPr>
          <w:rFonts w:ascii="Cambria" w:hAnsi="Cambria" w:cs="Times New Roman"/>
          <w:color w:val="262626" w:themeColor="text1" w:themeTint="D9"/>
          <w:szCs w:val="24"/>
        </w:rPr>
      </w:pPr>
    </w:p>
    <w:p w14:paraId="64A91C19" w14:textId="5CFA0EE2" w:rsidR="00561B49" w:rsidRDefault="00711A86" w:rsidP="00561B49">
      <w:pPr>
        <w:spacing w:line="276" w:lineRule="auto"/>
        <w:jc w:val="center"/>
        <w:rPr>
          <w:rFonts w:ascii="Cambria" w:hAnsi="Cambria" w:cs="Times New Roman"/>
          <w:color w:val="262626" w:themeColor="text1" w:themeTint="D9"/>
          <w:sz w:val="23"/>
          <w:szCs w:val="23"/>
        </w:rPr>
      </w:pPr>
      <w:r>
        <w:rPr>
          <w:noProof/>
        </w:rPr>
        <w:drawing>
          <wp:inline distT="0" distB="0" distL="0" distR="0" wp14:anchorId="78B56588" wp14:editId="193BF301">
            <wp:extent cx="5943600" cy="3935095"/>
            <wp:effectExtent l="0" t="0" r="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35095"/>
                    </a:xfrm>
                    <a:prstGeom prst="rect">
                      <a:avLst/>
                    </a:prstGeom>
                    <a:noFill/>
                    <a:ln>
                      <a:noFill/>
                    </a:ln>
                  </pic:spPr>
                </pic:pic>
              </a:graphicData>
            </a:graphic>
          </wp:inline>
        </w:drawing>
      </w:r>
    </w:p>
    <w:p w14:paraId="46A7E2D1" w14:textId="77777777" w:rsidR="00561B49" w:rsidRPr="005208A5" w:rsidRDefault="00561B49" w:rsidP="00561B49">
      <w:pPr>
        <w:spacing w:line="276" w:lineRule="auto"/>
        <w:rPr>
          <w:rFonts w:ascii="Cambria" w:hAnsi="Cambria" w:cs="Times New Roman"/>
          <w:color w:val="262626" w:themeColor="text1" w:themeTint="D9"/>
          <w:szCs w:val="24"/>
        </w:rPr>
      </w:pPr>
    </w:p>
    <w:p w14:paraId="5F22CB03" w14:textId="77777777" w:rsidR="00196ACE" w:rsidRPr="00196ACE" w:rsidRDefault="00196ACE" w:rsidP="00196ACE">
      <w:pPr>
        <w:spacing w:line="276" w:lineRule="auto"/>
        <w:rPr>
          <w:rFonts w:ascii="Cambria" w:hAnsi="Cambria"/>
          <w:color w:val="262626" w:themeColor="text1" w:themeTint="D9"/>
          <w:szCs w:val="24"/>
        </w:rPr>
      </w:pPr>
      <w:r w:rsidRPr="00196ACE">
        <w:rPr>
          <w:rFonts w:ascii="Cambria" w:hAnsi="Cambria"/>
          <w:color w:val="262626" w:themeColor="text1" w:themeTint="D9"/>
          <w:szCs w:val="24"/>
        </w:rPr>
        <w:t>En el pasado, existieron hechos importantes que cambiaron la tendencia de los datos, ejemplo:</w:t>
      </w:r>
    </w:p>
    <w:p w14:paraId="54D32C86" w14:textId="77777777" w:rsidR="00196ACE" w:rsidRPr="00196ACE" w:rsidRDefault="00196ACE" w:rsidP="00196ACE">
      <w:pPr>
        <w:numPr>
          <w:ilvl w:val="0"/>
          <w:numId w:val="13"/>
        </w:numPr>
        <w:spacing w:line="276" w:lineRule="auto"/>
        <w:contextualSpacing/>
        <w:rPr>
          <w:rFonts w:ascii="Cambria" w:hAnsi="Cambria"/>
          <w:color w:val="262626" w:themeColor="text1" w:themeTint="D9"/>
          <w:szCs w:val="24"/>
        </w:rPr>
      </w:pPr>
      <w:r w:rsidRPr="00196ACE">
        <w:rPr>
          <w:rFonts w:ascii="Cambria" w:hAnsi="Cambria"/>
          <w:color w:val="262626" w:themeColor="text1" w:themeTint="D9"/>
          <w:szCs w:val="24"/>
        </w:rPr>
        <w:t xml:space="preserve">A partir de abril del 2001, la cuantía en procesos de naturaleza laboral aumentó a ¢600.000, sin embargo, las cifras de casos entrados para el 2002 reflejan un comportamiento a la baja de un 5.1%, el mismo efecto se tuvo en los casos terminados con un 14,80%, por lo cual el circulante aumentó en un 45% aproximadamente.  </w:t>
      </w:r>
    </w:p>
    <w:p w14:paraId="445FE2E0" w14:textId="77777777" w:rsidR="00196ACE" w:rsidRPr="00196ACE" w:rsidRDefault="00196ACE" w:rsidP="00196ACE">
      <w:pPr>
        <w:spacing w:line="276" w:lineRule="auto"/>
        <w:ind w:left="720"/>
        <w:contextualSpacing/>
        <w:rPr>
          <w:rFonts w:ascii="Cambria" w:hAnsi="Cambria"/>
          <w:color w:val="262626" w:themeColor="text1" w:themeTint="D9"/>
          <w:szCs w:val="24"/>
        </w:rPr>
      </w:pPr>
    </w:p>
    <w:p w14:paraId="2D8F8F2E" w14:textId="77777777" w:rsidR="00196ACE" w:rsidRPr="00196ACE" w:rsidRDefault="00196ACE" w:rsidP="00196ACE">
      <w:pPr>
        <w:numPr>
          <w:ilvl w:val="0"/>
          <w:numId w:val="13"/>
        </w:numPr>
        <w:spacing w:line="276" w:lineRule="auto"/>
        <w:contextualSpacing/>
        <w:rPr>
          <w:rFonts w:ascii="Cambria" w:hAnsi="Cambria"/>
          <w:color w:val="262626" w:themeColor="text1" w:themeTint="D9"/>
          <w:szCs w:val="24"/>
        </w:rPr>
      </w:pPr>
      <w:r w:rsidRPr="00196ACE">
        <w:rPr>
          <w:rFonts w:ascii="Cambria" w:hAnsi="Cambria"/>
          <w:color w:val="262626" w:themeColor="text1" w:themeTint="D9"/>
          <w:szCs w:val="24"/>
        </w:rPr>
        <w:t>En el año 2005, se crearon algunos indicadores con el propósito de tener una referencia a través del tiempo de la gestión realizada en esta Sala, y que pudiera coadyubar en la toma de decisiones, la tasa de congestión</w:t>
      </w:r>
      <w:r w:rsidRPr="00196ACE">
        <w:rPr>
          <w:rFonts w:ascii="Cambria" w:hAnsi="Cambria"/>
          <w:color w:val="262626" w:themeColor="text1" w:themeTint="D9"/>
          <w:szCs w:val="24"/>
          <w:vertAlign w:val="superscript"/>
        </w:rPr>
        <w:footnoteReference w:id="1"/>
      </w:r>
      <w:r w:rsidRPr="00196ACE">
        <w:rPr>
          <w:rFonts w:ascii="Cambria" w:hAnsi="Cambria"/>
          <w:color w:val="262626" w:themeColor="text1" w:themeTint="D9"/>
          <w:szCs w:val="24"/>
          <w:vertAlign w:val="superscript"/>
        </w:rPr>
        <w:t>,</w:t>
      </w:r>
      <w:r w:rsidRPr="00196ACE">
        <w:rPr>
          <w:rFonts w:ascii="Cambria" w:hAnsi="Cambria"/>
          <w:color w:val="262626" w:themeColor="text1" w:themeTint="D9"/>
          <w:szCs w:val="24"/>
        </w:rPr>
        <w:t xml:space="preserve"> la tasa de pendencia</w:t>
      </w:r>
      <w:r w:rsidRPr="00196ACE">
        <w:rPr>
          <w:rFonts w:ascii="Cambria" w:hAnsi="Cambria"/>
          <w:color w:val="262626" w:themeColor="text1" w:themeTint="D9"/>
          <w:szCs w:val="24"/>
          <w:vertAlign w:val="superscript"/>
        </w:rPr>
        <w:footnoteReference w:id="2"/>
      </w:r>
      <w:r w:rsidRPr="00196ACE">
        <w:rPr>
          <w:rFonts w:ascii="Cambria" w:hAnsi="Cambria"/>
          <w:color w:val="262626" w:themeColor="text1" w:themeTint="D9"/>
          <w:szCs w:val="24"/>
          <w:vertAlign w:val="superscript"/>
        </w:rPr>
        <w:t xml:space="preserve"> </w:t>
      </w:r>
      <w:r w:rsidRPr="00196ACE">
        <w:rPr>
          <w:rFonts w:ascii="Cambria" w:hAnsi="Cambria"/>
          <w:color w:val="262626" w:themeColor="text1" w:themeTint="D9"/>
          <w:szCs w:val="24"/>
        </w:rPr>
        <w:t>y la tasa de resolución</w:t>
      </w:r>
      <w:r w:rsidRPr="00196ACE">
        <w:rPr>
          <w:rFonts w:ascii="Cambria" w:hAnsi="Cambria"/>
          <w:color w:val="262626" w:themeColor="text1" w:themeTint="D9"/>
          <w:szCs w:val="24"/>
          <w:vertAlign w:val="superscript"/>
        </w:rPr>
        <w:footnoteReference w:id="3"/>
      </w:r>
      <w:r w:rsidRPr="00196ACE">
        <w:rPr>
          <w:rFonts w:ascii="Cambria" w:hAnsi="Cambria"/>
          <w:color w:val="262626" w:themeColor="text1" w:themeTint="D9"/>
          <w:szCs w:val="24"/>
          <w:vertAlign w:val="superscript"/>
        </w:rPr>
        <w:t>.</w:t>
      </w:r>
    </w:p>
    <w:p w14:paraId="7774AF73" w14:textId="77777777" w:rsidR="00196ACE" w:rsidRPr="00196ACE" w:rsidRDefault="00196ACE" w:rsidP="00196ACE">
      <w:pPr>
        <w:spacing w:line="276" w:lineRule="auto"/>
        <w:ind w:left="720"/>
        <w:contextualSpacing/>
        <w:rPr>
          <w:rFonts w:ascii="Cambria" w:hAnsi="Cambria"/>
          <w:color w:val="262626" w:themeColor="text1" w:themeTint="D9"/>
          <w:szCs w:val="24"/>
        </w:rPr>
      </w:pPr>
    </w:p>
    <w:p w14:paraId="527BC384" w14:textId="77777777" w:rsidR="00196ACE" w:rsidRPr="00196ACE" w:rsidRDefault="00196ACE" w:rsidP="00196ACE">
      <w:pPr>
        <w:numPr>
          <w:ilvl w:val="0"/>
          <w:numId w:val="13"/>
        </w:numPr>
        <w:spacing w:line="276" w:lineRule="auto"/>
        <w:contextualSpacing/>
        <w:rPr>
          <w:rFonts w:ascii="Cambria" w:hAnsi="Cambria"/>
          <w:color w:val="262626" w:themeColor="text1" w:themeTint="D9"/>
          <w:szCs w:val="24"/>
        </w:rPr>
      </w:pPr>
      <w:r w:rsidRPr="00196ACE">
        <w:rPr>
          <w:rFonts w:ascii="Cambria" w:hAnsi="Cambria"/>
          <w:color w:val="262626" w:themeColor="text1" w:themeTint="D9"/>
          <w:szCs w:val="24"/>
        </w:rPr>
        <w:t>En el año 2006 se generó un incremento de los asuntos entrados de un 27,5%, en su mayoría asuntos laborales, producto de demandas presentadas contra el Banco de Costa Rica.</w:t>
      </w:r>
    </w:p>
    <w:p w14:paraId="710878CA" w14:textId="77777777" w:rsidR="00196ACE" w:rsidRPr="00196ACE" w:rsidRDefault="00196ACE" w:rsidP="00196ACE">
      <w:pPr>
        <w:spacing w:line="276" w:lineRule="auto"/>
        <w:ind w:left="720"/>
        <w:contextualSpacing/>
        <w:rPr>
          <w:rFonts w:ascii="Cambria" w:hAnsi="Cambria"/>
          <w:color w:val="262626" w:themeColor="text1" w:themeTint="D9"/>
          <w:szCs w:val="24"/>
        </w:rPr>
      </w:pPr>
    </w:p>
    <w:p w14:paraId="6D0ED56A" w14:textId="77777777" w:rsidR="00196ACE" w:rsidRPr="00196ACE" w:rsidRDefault="00196ACE" w:rsidP="00196ACE">
      <w:pPr>
        <w:numPr>
          <w:ilvl w:val="0"/>
          <w:numId w:val="13"/>
        </w:numPr>
        <w:spacing w:line="276" w:lineRule="auto"/>
        <w:contextualSpacing/>
        <w:rPr>
          <w:rFonts w:ascii="Cambria" w:hAnsi="Cambria"/>
          <w:color w:val="262626" w:themeColor="text1" w:themeTint="D9"/>
          <w:szCs w:val="24"/>
        </w:rPr>
      </w:pPr>
      <w:r w:rsidRPr="00196ACE">
        <w:rPr>
          <w:rFonts w:ascii="Cambria" w:hAnsi="Cambria"/>
          <w:color w:val="262626" w:themeColor="text1" w:themeTint="D9"/>
          <w:szCs w:val="24"/>
        </w:rPr>
        <w:t>En el año 2010 se generó una considerable cantidad de asuntos terminados, consecuencia de resoluciones dadas en forma masiva en casos relacionados con la materia Laboral.</w:t>
      </w:r>
    </w:p>
    <w:p w14:paraId="6D1E4368" w14:textId="77777777" w:rsidR="00196ACE" w:rsidRPr="00196ACE" w:rsidRDefault="00196ACE" w:rsidP="00196ACE">
      <w:pPr>
        <w:tabs>
          <w:tab w:val="left" w:pos="2332"/>
        </w:tabs>
        <w:spacing w:line="276" w:lineRule="auto"/>
        <w:ind w:left="720"/>
        <w:contextualSpacing/>
        <w:rPr>
          <w:rFonts w:ascii="Cambria" w:hAnsi="Cambria"/>
          <w:color w:val="262626" w:themeColor="text1" w:themeTint="D9"/>
          <w:szCs w:val="24"/>
        </w:rPr>
      </w:pPr>
      <w:r w:rsidRPr="00196ACE">
        <w:rPr>
          <w:rFonts w:ascii="Cambria" w:hAnsi="Cambria"/>
          <w:color w:val="262626" w:themeColor="text1" w:themeTint="D9"/>
          <w:szCs w:val="24"/>
        </w:rPr>
        <w:tab/>
      </w:r>
    </w:p>
    <w:p w14:paraId="3D0CEF62" w14:textId="77777777" w:rsidR="00196ACE" w:rsidRPr="00196ACE" w:rsidRDefault="00196ACE" w:rsidP="00196ACE">
      <w:pPr>
        <w:numPr>
          <w:ilvl w:val="0"/>
          <w:numId w:val="13"/>
        </w:numPr>
        <w:spacing w:line="276" w:lineRule="auto"/>
        <w:contextualSpacing/>
        <w:rPr>
          <w:rFonts w:ascii="Cambria" w:hAnsi="Cambria"/>
          <w:color w:val="262626" w:themeColor="text1" w:themeTint="D9"/>
          <w:szCs w:val="24"/>
        </w:rPr>
      </w:pPr>
      <w:r w:rsidRPr="00196ACE">
        <w:rPr>
          <w:rFonts w:ascii="Cambria" w:hAnsi="Cambria"/>
          <w:color w:val="262626" w:themeColor="text1" w:themeTint="D9"/>
          <w:szCs w:val="24"/>
        </w:rPr>
        <w:t>El volumen de casos entrados en el 2017 se incrementó en un 189,9% debido a un recurso interpuesto sobre “incentivos médicos".</w:t>
      </w:r>
    </w:p>
    <w:p w14:paraId="34484D28" w14:textId="77777777" w:rsidR="00196ACE" w:rsidRPr="00196ACE" w:rsidRDefault="00196ACE" w:rsidP="00196ACE">
      <w:pPr>
        <w:spacing w:line="276" w:lineRule="auto"/>
        <w:ind w:left="720"/>
        <w:contextualSpacing/>
        <w:rPr>
          <w:rFonts w:ascii="Cambria" w:hAnsi="Cambria"/>
          <w:color w:val="262626" w:themeColor="text1" w:themeTint="D9"/>
          <w:szCs w:val="24"/>
        </w:rPr>
      </w:pPr>
    </w:p>
    <w:p w14:paraId="54C4C71B" w14:textId="77777777" w:rsidR="00196ACE" w:rsidRPr="00196ACE" w:rsidRDefault="00196ACE" w:rsidP="00196ACE">
      <w:pPr>
        <w:numPr>
          <w:ilvl w:val="0"/>
          <w:numId w:val="13"/>
        </w:numPr>
        <w:spacing w:line="276" w:lineRule="auto"/>
        <w:contextualSpacing/>
        <w:rPr>
          <w:rFonts w:ascii="Cambria" w:hAnsi="Cambria"/>
          <w:color w:val="262626" w:themeColor="text1" w:themeTint="D9"/>
          <w:szCs w:val="24"/>
        </w:rPr>
      </w:pPr>
      <w:r w:rsidRPr="00196ACE">
        <w:rPr>
          <w:rFonts w:ascii="Cambria" w:hAnsi="Cambria"/>
          <w:color w:val="262626" w:themeColor="text1" w:themeTint="D9"/>
          <w:szCs w:val="24"/>
        </w:rPr>
        <w:t>En el mes de julio del año 2017 entró en vigencia la reforma al Código de Trabajo (Reforma Procesal Laboral), la cual modificó la competencia, procedimientos y metodología en la tramitología de los procesos concernientes en materia de trabajo, tanto en los despachos judiciales de primera instancia (juzgados), como de segunda instancia (tribunales de apelación), situación que repercutió en las labores desarrolladas en la Sala Segunda, en especial, al considerar que poco más del 90% de su circulante compete a esta materia.</w:t>
      </w:r>
    </w:p>
    <w:p w14:paraId="1C172CE7" w14:textId="77777777" w:rsidR="00196ACE" w:rsidRPr="00196ACE" w:rsidRDefault="00196ACE" w:rsidP="00196ACE">
      <w:pPr>
        <w:spacing w:line="276" w:lineRule="auto"/>
        <w:ind w:left="720"/>
        <w:contextualSpacing/>
        <w:rPr>
          <w:rFonts w:ascii="Cambria" w:hAnsi="Cambria"/>
          <w:color w:val="262626" w:themeColor="text1" w:themeTint="D9"/>
          <w:szCs w:val="24"/>
        </w:rPr>
      </w:pPr>
    </w:p>
    <w:p w14:paraId="40226871" w14:textId="77777777" w:rsidR="00196ACE" w:rsidRPr="00196ACE" w:rsidRDefault="00196ACE" w:rsidP="00196ACE">
      <w:pPr>
        <w:numPr>
          <w:ilvl w:val="0"/>
          <w:numId w:val="13"/>
        </w:numPr>
        <w:spacing w:line="276" w:lineRule="auto"/>
        <w:contextualSpacing/>
        <w:rPr>
          <w:rFonts w:ascii="Cambria" w:hAnsi="Cambria"/>
          <w:color w:val="262626" w:themeColor="text1" w:themeTint="D9"/>
          <w:szCs w:val="24"/>
        </w:rPr>
      </w:pPr>
      <w:r w:rsidRPr="00196ACE">
        <w:rPr>
          <w:rFonts w:ascii="Cambria" w:hAnsi="Cambria"/>
          <w:color w:val="262626" w:themeColor="text1" w:themeTint="D9"/>
          <w:szCs w:val="24"/>
        </w:rPr>
        <w:t>Las competencias introducidas con la Reforma Procesal Laboral para conocer los recursos contra las sentencias dictadas en la instancia inferior en los procesos ordinarios de mayor cuantía e inestimables, así como el conocimiento de asuntos de fueros especiales de protección y del debido proceso, ocasionaron un incremento de los casos entrados, por ejemplo, los recursos por inadmisión, la introducción de una nueva causal de procedencia del recurso o demanda de revisión -artículo 72.1.11 NCPC (Nuevo Código Procesal Civil) según el artículo 599 de la Reforma Procesal Laboral.</w:t>
      </w:r>
    </w:p>
    <w:p w14:paraId="030D9EAE" w14:textId="77777777" w:rsidR="00196ACE" w:rsidRPr="00196ACE" w:rsidRDefault="00196ACE" w:rsidP="00196ACE">
      <w:pPr>
        <w:spacing w:line="276" w:lineRule="auto"/>
        <w:ind w:left="720"/>
        <w:contextualSpacing/>
        <w:rPr>
          <w:rFonts w:ascii="Cambria" w:hAnsi="Cambria"/>
          <w:color w:val="262626" w:themeColor="text1" w:themeTint="D9"/>
          <w:szCs w:val="24"/>
        </w:rPr>
      </w:pPr>
    </w:p>
    <w:p w14:paraId="25C400D5" w14:textId="294A81AE" w:rsidR="00561B49" w:rsidRPr="00196ACE" w:rsidRDefault="00561B49" w:rsidP="00196ACE">
      <w:pPr>
        <w:pStyle w:val="Prrafodelista"/>
        <w:ind w:left="0"/>
        <w:rPr>
          <w:rFonts w:ascii="Cambria" w:hAnsi="Cambria" w:cs="Times New Roman"/>
          <w:color w:val="262626" w:themeColor="text1" w:themeTint="D9"/>
          <w:sz w:val="23"/>
          <w:szCs w:val="23"/>
        </w:rPr>
      </w:pPr>
    </w:p>
    <w:p w14:paraId="6B60BF99" w14:textId="77777777" w:rsidR="00561B49" w:rsidRPr="00196ACE" w:rsidRDefault="00561B49" w:rsidP="00196ACE">
      <w:pPr>
        <w:pStyle w:val="Prrafodelista"/>
        <w:rPr>
          <w:rFonts w:ascii="Cambria" w:hAnsi="Cambria" w:cs="Times New Roman"/>
          <w:color w:val="262626" w:themeColor="text1" w:themeTint="D9"/>
          <w:sz w:val="23"/>
          <w:szCs w:val="23"/>
        </w:rPr>
      </w:pPr>
    </w:p>
    <w:p w14:paraId="36A71D56" w14:textId="77777777" w:rsidR="00196ACE" w:rsidRPr="00196ACE" w:rsidRDefault="00196ACE" w:rsidP="00196ACE">
      <w:pPr>
        <w:numPr>
          <w:ilvl w:val="0"/>
          <w:numId w:val="13"/>
        </w:numPr>
        <w:spacing w:line="276" w:lineRule="auto"/>
        <w:contextualSpacing/>
        <w:rPr>
          <w:rFonts w:ascii="Cambria" w:hAnsi="Cambria"/>
          <w:color w:val="262626" w:themeColor="text1" w:themeTint="D9"/>
          <w:szCs w:val="24"/>
        </w:rPr>
      </w:pPr>
      <w:r w:rsidRPr="00196ACE">
        <w:rPr>
          <w:rFonts w:ascii="Cambria" w:hAnsi="Cambria"/>
          <w:color w:val="262626" w:themeColor="text1" w:themeTint="D9"/>
          <w:szCs w:val="24"/>
        </w:rPr>
        <w:t>Con la Reforma Procesal Laboral, la Sala Segunda es la única instancia en alzada a nivel nacional, para conocer los recursos contra las sentencias dictadas en los procesos ordinarios de mayor cuantía y de cuantía inestimable, con exclusión de las demandas relacionadas con la temática de seguridad social, lo cual se constituye en otro factor que ha provocado el incremento en el ingreso de expedientes al despacho y, por consiguiente, un crecimiento en los tiempos de respuesta.</w:t>
      </w:r>
    </w:p>
    <w:p w14:paraId="441D3539" w14:textId="77777777" w:rsidR="00196ACE" w:rsidRPr="00196ACE" w:rsidRDefault="00196ACE" w:rsidP="00196ACE">
      <w:pPr>
        <w:spacing w:line="276" w:lineRule="auto"/>
        <w:ind w:left="720"/>
        <w:contextualSpacing/>
        <w:rPr>
          <w:rFonts w:ascii="Cambria" w:hAnsi="Cambria"/>
          <w:color w:val="262626" w:themeColor="text1" w:themeTint="D9"/>
          <w:szCs w:val="24"/>
        </w:rPr>
      </w:pPr>
    </w:p>
    <w:p w14:paraId="2F8FA267" w14:textId="77777777" w:rsidR="00196ACE" w:rsidRPr="00196ACE" w:rsidRDefault="00196ACE" w:rsidP="00196ACE">
      <w:pPr>
        <w:numPr>
          <w:ilvl w:val="0"/>
          <w:numId w:val="13"/>
        </w:numPr>
        <w:spacing w:line="276" w:lineRule="auto"/>
        <w:contextualSpacing/>
        <w:rPr>
          <w:rFonts w:ascii="Cambria" w:hAnsi="Cambria"/>
          <w:color w:val="262626" w:themeColor="text1" w:themeTint="D9"/>
          <w:szCs w:val="24"/>
        </w:rPr>
      </w:pPr>
      <w:r w:rsidRPr="00196ACE">
        <w:rPr>
          <w:rFonts w:ascii="Cambria" w:hAnsi="Cambria"/>
          <w:color w:val="262626" w:themeColor="text1" w:themeTint="D9"/>
          <w:szCs w:val="24"/>
        </w:rPr>
        <w:t>Previo a la entrada en vigencia de la Reforma Procesal Laboral, las partes tenían la posibilidad de apelar las sentencias ante los tribunales laborales de segunda instancia y posteriormente podían acudir a la tercera instancia, rogada ante esta Sala, lo cual se mantiene para los asuntos a los que les resulta aplicable la normativa laboral anterior, entre ellos algunos asuntos en materia de Seguridad Social.</w:t>
      </w:r>
    </w:p>
    <w:p w14:paraId="345602F7" w14:textId="77777777" w:rsidR="00196ACE" w:rsidRPr="00196ACE" w:rsidRDefault="00196ACE" w:rsidP="00196ACE">
      <w:pPr>
        <w:spacing w:line="276" w:lineRule="auto"/>
        <w:ind w:left="720"/>
        <w:contextualSpacing/>
        <w:rPr>
          <w:rFonts w:ascii="Cambria" w:hAnsi="Cambria"/>
          <w:color w:val="262626" w:themeColor="text1" w:themeTint="D9"/>
          <w:szCs w:val="24"/>
        </w:rPr>
      </w:pPr>
    </w:p>
    <w:p w14:paraId="62BC8463" w14:textId="77777777" w:rsidR="00196ACE" w:rsidRPr="00196ACE" w:rsidRDefault="00196ACE" w:rsidP="00196ACE">
      <w:pPr>
        <w:numPr>
          <w:ilvl w:val="0"/>
          <w:numId w:val="13"/>
        </w:numPr>
        <w:spacing w:line="276" w:lineRule="auto"/>
        <w:contextualSpacing/>
        <w:rPr>
          <w:rFonts w:ascii="Cambria" w:hAnsi="Cambria"/>
          <w:color w:val="262626" w:themeColor="text1" w:themeTint="D9"/>
          <w:szCs w:val="24"/>
        </w:rPr>
      </w:pPr>
      <w:r w:rsidRPr="00196ACE">
        <w:rPr>
          <w:rFonts w:ascii="Cambria" w:hAnsi="Cambria"/>
          <w:color w:val="262626" w:themeColor="text1" w:themeTint="D9"/>
          <w:szCs w:val="24"/>
        </w:rPr>
        <w:t>En el mes octubre del año 2018 entró en vigencia la reforma al Código Procesal Civil y al igual que la Reforma Procesal Laboral, también se modificó la competencia, procedimientos y metodología en la tramitación de asuntos civiles desarrollados por la Sala Segunda.</w:t>
      </w:r>
    </w:p>
    <w:p w14:paraId="752FAED1" w14:textId="77777777" w:rsidR="00196ACE" w:rsidRPr="00196ACE" w:rsidRDefault="00196ACE" w:rsidP="00196ACE">
      <w:pPr>
        <w:spacing w:line="276" w:lineRule="auto"/>
        <w:ind w:left="720"/>
        <w:contextualSpacing/>
        <w:rPr>
          <w:rFonts w:ascii="Cambria" w:hAnsi="Cambria"/>
          <w:color w:val="262626" w:themeColor="text1" w:themeTint="D9"/>
          <w:szCs w:val="24"/>
        </w:rPr>
      </w:pPr>
    </w:p>
    <w:p w14:paraId="4152747F" w14:textId="77777777" w:rsidR="00196ACE" w:rsidRPr="00196ACE" w:rsidRDefault="00196ACE" w:rsidP="00196ACE">
      <w:pPr>
        <w:numPr>
          <w:ilvl w:val="0"/>
          <w:numId w:val="13"/>
        </w:numPr>
        <w:spacing w:line="276" w:lineRule="auto"/>
        <w:contextualSpacing/>
        <w:rPr>
          <w:rFonts w:ascii="Cambria" w:hAnsi="Cambria"/>
          <w:color w:val="262626" w:themeColor="text1" w:themeTint="D9"/>
          <w:szCs w:val="24"/>
        </w:rPr>
      </w:pPr>
      <w:r w:rsidRPr="00196ACE">
        <w:rPr>
          <w:rFonts w:ascii="Cambria" w:hAnsi="Cambria"/>
          <w:color w:val="262626" w:themeColor="text1" w:themeTint="D9"/>
          <w:szCs w:val="24"/>
        </w:rPr>
        <w:t>Las nuevas obligaciones de la Sala son la tramitación de los procesos de Cooperación Judicial Internacional y Auxilio Judicial Internacional (Exequátur y cartas rogatorias) en las materias que son de competencia del despacho (laboral, familia, sucesiones y quiebra).</w:t>
      </w:r>
    </w:p>
    <w:p w14:paraId="134C0D9F" w14:textId="77777777" w:rsidR="00196ACE" w:rsidRPr="00196ACE" w:rsidRDefault="00196ACE" w:rsidP="00196ACE">
      <w:pPr>
        <w:spacing w:line="276" w:lineRule="auto"/>
        <w:ind w:left="720"/>
        <w:contextualSpacing/>
        <w:rPr>
          <w:rFonts w:ascii="Cambria" w:hAnsi="Cambria"/>
          <w:color w:val="262626" w:themeColor="text1" w:themeTint="D9"/>
          <w:szCs w:val="24"/>
        </w:rPr>
      </w:pPr>
    </w:p>
    <w:p w14:paraId="67B34C4C" w14:textId="77777777" w:rsidR="00196ACE" w:rsidRPr="00196ACE" w:rsidRDefault="00196ACE" w:rsidP="00196ACE">
      <w:pPr>
        <w:numPr>
          <w:ilvl w:val="0"/>
          <w:numId w:val="13"/>
        </w:numPr>
        <w:spacing w:line="276" w:lineRule="auto"/>
        <w:contextualSpacing/>
        <w:rPr>
          <w:rFonts w:ascii="Cambria" w:hAnsi="Cambria"/>
          <w:color w:val="262626" w:themeColor="text1" w:themeTint="D9"/>
          <w:szCs w:val="24"/>
        </w:rPr>
      </w:pPr>
      <w:r w:rsidRPr="00196ACE">
        <w:rPr>
          <w:rFonts w:ascii="Cambria" w:hAnsi="Cambria"/>
          <w:color w:val="262626" w:themeColor="text1" w:themeTint="D9"/>
          <w:szCs w:val="24"/>
        </w:rPr>
        <w:t>Parte de los acontecimientos importantes que tuvieron su repercusión en la Sala Segunda, de conformidad con las disposiciones emitidas por Corte Plena en atención a la declaratoria de emergencia nacional “</w:t>
      </w:r>
      <w:proofErr w:type="spellStart"/>
      <w:r w:rsidRPr="00196ACE">
        <w:rPr>
          <w:rFonts w:ascii="Cambria" w:hAnsi="Cambria"/>
          <w:color w:val="262626" w:themeColor="text1" w:themeTint="D9"/>
          <w:szCs w:val="24"/>
        </w:rPr>
        <w:t>Covid</w:t>
      </w:r>
      <w:proofErr w:type="spellEnd"/>
      <w:r w:rsidRPr="00196ACE">
        <w:rPr>
          <w:rFonts w:ascii="Cambria" w:hAnsi="Cambria"/>
          <w:color w:val="262626" w:themeColor="text1" w:themeTint="D9"/>
          <w:szCs w:val="24"/>
        </w:rPr>
        <w:t xml:space="preserve"> 19”, según </w:t>
      </w:r>
      <w:r w:rsidRPr="00196ACE">
        <w:rPr>
          <w:rFonts w:ascii="Cambria" w:eastAsia="Calibri" w:hAnsi="Cambria"/>
          <w:color w:val="262626" w:themeColor="text1" w:themeTint="D9"/>
          <w:szCs w:val="24"/>
        </w:rPr>
        <w:t xml:space="preserve">sesión </w:t>
      </w:r>
      <w:proofErr w:type="spellStart"/>
      <w:r w:rsidRPr="00196ACE">
        <w:rPr>
          <w:rFonts w:ascii="Cambria" w:eastAsia="Calibri" w:hAnsi="Cambria"/>
          <w:color w:val="262626" w:themeColor="text1" w:themeTint="D9"/>
          <w:szCs w:val="24"/>
        </w:rPr>
        <w:t>N°</w:t>
      </w:r>
      <w:proofErr w:type="spellEnd"/>
      <w:r w:rsidRPr="00196ACE">
        <w:rPr>
          <w:rFonts w:ascii="Cambria" w:eastAsia="Calibri" w:hAnsi="Cambria"/>
          <w:color w:val="262626" w:themeColor="text1" w:themeTint="D9"/>
          <w:szCs w:val="24"/>
        </w:rPr>
        <w:t xml:space="preserve"> 12-2020, celebrada el 16 de marzo 2020, artículo XII, </w:t>
      </w:r>
      <w:r w:rsidRPr="00196ACE">
        <w:rPr>
          <w:rFonts w:ascii="Cambria" w:eastAsia="Calibri" w:hAnsi="Cambria"/>
          <w:color w:val="262626" w:themeColor="text1" w:themeTint="D9"/>
          <w:szCs w:val="24"/>
          <w:lang w:eastAsia="es-CR"/>
        </w:rPr>
        <w:t>en concordancia con</w:t>
      </w:r>
      <w:r w:rsidRPr="00196ACE">
        <w:rPr>
          <w:rFonts w:ascii="Cambria" w:eastAsia="Calibri" w:hAnsi="Cambria"/>
          <w:color w:val="262626" w:themeColor="text1" w:themeTint="D9"/>
          <w:szCs w:val="24"/>
        </w:rPr>
        <w:t xml:space="preserve"> las medidas adoptadas por</w:t>
      </w:r>
      <w:r w:rsidRPr="00196ACE">
        <w:rPr>
          <w:rFonts w:ascii="Cambria" w:eastAsia="Calibri" w:hAnsi="Cambria"/>
          <w:color w:val="262626" w:themeColor="text1" w:themeTint="D9"/>
          <w:szCs w:val="24"/>
          <w:lang w:eastAsia="es-CR"/>
        </w:rPr>
        <w:t xml:space="preserve"> el Ministerio de Salud, así como el decreto ejecutivo 42227-MS emitido el día 16 de marzo de 2020, en que se declara estado de emergencia nacional en todo el territorio de la República de Costa Rica</w:t>
      </w:r>
      <w:r w:rsidRPr="00196ACE">
        <w:rPr>
          <w:rFonts w:ascii="Cambria" w:hAnsi="Cambria"/>
          <w:color w:val="262626" w:themeColor="text1" w:themeTint="D9"/>
          <w:szCs w:val="24"/>
        </w:rPr>
        <w:t>, Circular  N°47-2020, fue la metodología de trabajo utilizada para la atención de sus funciones y la interpretación y análisis de datos, s</w:t>
      </w:r>
      <w:r w:rsidRPr="00196ACE">
        <w:rPr>
          <w:rFonts w:ascii="Cambria" w:hAnsi="Cambria" w:cs="Arial"/>
          <w:color w:val="262626" w:themeColor="text1" w:themeTint="D9"/>
          <w:szCs w:val="24"/>
        </w:rPr>
        <w:t>i bien el despacho se vio afectado a la hora de cumplir con algunas de sus metas que requerían la realización de actividades presenciales, lo cierto es que en cuanto a su laborar jurisdiccional, continuó su labor, inclusive superando en un 30.2% la meta PEI establecida por el Departamento de Planificación en cuanto a la cantidad de asuntos terminados.</w:t>
      </w:r>
    </w:p>
    <w:p w14:paraId="64830102" w14:textId="77777777" w:rsidR="00196ACE" w:rsidRPr="00196ACE" w:rsidRDefault="00196ACE" w:rsidP="00196ACE">
      <w:pPr>
        <w:spacing w:line="276" w:lineRule="auto"/>
        <w:ind w:left="720"/>
        <w:contextualSpacing/>
        <w:rPr>
          <w:rFonts w:ascii="Cambria" w:hAnsi="Cambria"/>
          <w:color w:val="262626" w:themeColor="text1" w:themeTint="D9"/>
          <w:szCs w:val="24"/>
        </w:rPr>
      </w:pPr>
    </w:p>
    <w:p w14:paraId="10CA9E2B" w14:textId="77777777" w:rsidR="00196ACE" w:rsidRPr="00196ACE" w:rsidRDefault="00196ACE" w:rsidP="00196ACE">
      <w:pPr>
        <w:numPr>
          <w:ilvl w:val="0"/>
          <w:numId w:val="13"/>
        </w:numPr>
        <w:spacing w:line="276" w:lineRule="auto"/>
        <w:contextualSpacing/>
        <w:rPr>
          <w:rFonts w:ascii="Cambria" w:hAnsi="Cambria"/>
          <w:color w:val="262626" w:themeColor="text1" w:themeTint="D9"/>
          <w:szCs w:val="24"/>
        </w:rPr>
      </w:pPr>
      <w:r w:rsidRPr="00196ACE">
        <w:rPr>
          <w:rFonts w:ascii="Cambria" w:hAnsi="Cambria"/>
          <w:color w:val="262626" w:themeColor="text1" w:themeTint="D9"/>
          <w:szCs w:val="24"/>
        </w:rPr>
        <w:t>En sesión de Corte Plena número 46-2020 del 24 de agosto de 2020.  (Publicado en Boletín Judicial número 172 del 8 de setiembre de 2020) se modificó la cuantía en materia Laboral en la suma de quince millones de colones.</w:t>
      </w:r>
    </w:p>
    <w:p w14:paraId="48229570" w14:textId="77777777" w:rsidR="00196ACE" w:rsidRPr="00196ACE" w:rsidRDefault="00196ACE" w:rsidP="00196ACE">
      <w:pPr>
        <w:spacing w:line="276" w:lineRule="auto"/>
        <w:ind w:left="720"/>
        <w:contextualSpacing/>
        <w:rPr>
          <w:rFonts w:ascii="Cambria" w:hAnsi="Cambria"/>
          <w:color w:val="262626" w:themeColor="text1" w:themeTint="D9"/>
          <w:szCs w:val="24"/>
        </w:rPr>
      </w:pPr>
    </w:p>
    <w:p w14:paraId="71CBBDE7" w14:textId="77777777" w:rsidR="00196ACE" w:rsidRPr="00196ACE" w:rsidRDefault="00196ACE" w:rsidP="00196ACE">
      <w:pPr>
        <w:numPr>
          <w:ilvl w:val="0"/>
          <w:numId w:val="13"/>
        </w:numPr>
        <w:spacing w:line="276" w:lineRule="auto"/>
        <w:contextualSpacing/>
        <w:rPr>
          <w:rFonts w:ascii="Cambria" w:hAnsi="Cambria"/>
          <w:color w:val="262626" w:themeColor="text1" w:themeTint="D9"/>
          <w:szCs w:val="24"/>
        </w:rPr>
      </w:pPr>
      <w:r w:rsidRPr="00196ACE">
        <w:rPr>
          <w:rFonts w:ascii="Cambria" w:hAnsi="Cambria"/>
          <w:color w:val="262626" w:themeColor="text1" w:themeTint="D9"/>
          <w:szCs w:val="24"/>
        </w:rPr>
        <w:t>En materia Civil y de Familia, se aplica la cuantía que rige para la materia Civil de tres millones de colones, aprobada en sesión de Corte Plena número 38-13 del 9 de setiembre de 2013.</w:t>
      </w:r>
    </w:p>
    <w:p w14:paraId="30414D6A" w14:textId="77777777" w:rsidR="00196ACE" w:rsidRDefault="00196ACE" w:rsidP="00196ACE">
      <w:pPr>
        <w:pStyle w:val="Prrafodelista"/>
        <w:rPr>
          <w:rFonts w:ascii="Cambria" w:hAnsi="Cambria"/>
          <w:color w:val="262626"/>
        </w:rPr>
      </w:pPr>
    </w:p>
    <w:p w14:paraId="0DA902FE" w14:textId="77777777" w:rsidR="00561B49" w:rsidRDefault="00561B49" w:rsidP="00561B49">
      <w:pPr>
        <w:pStyle w:val="Prrafodelista"/>
        <w:spacing w:before="0" w:after="0"/>
        <w:rPr>
          <w:rFonts w:cs="Times New Roman"/>
        </w:rPr>
      </w:pPr>
    </w:p>
    <w:p w14:paraId="27E48ACA" w14:textId="77777777" w:rsidR="00561B49" w:rsidRDefault="00561B49" w:rsidP="00561B49">
      <w:pPr>
        <w:pStyle w:val="Prrafodelista"/>
        <w:spacing w:before="0" w:after="0"/>
        <w:jc w:val="center"/>
        <w:rPr>
          <w:rFonts w:cs="Times New Roman"/>
        </w:rPr>
      </w:pPr>
    </w:p>
    <w:p w14:paraId="05AD29EC" w14:textId="77777777" w:rsidR="00561B49" w:rsidRDefault="00561B49" w:rsidP="00561B49">
      <w:pPr>
        <w:pStyle w:val="Prrafodelista"/>
        <w:spacing w:before="0" w:after="0"/>
        <w:rPr>
          <w:rFonts w:cs="Times New Roman"/>
        </w:rPr>
      </w:pPr>
    </w:p>
    <w:p w14:paraId="5F2E0199" w14:textId="0280B161" w:rsidR="00561B49" w:rsidRDefault="00561B49" w:rsidP="00561B49">
      <w:pPr>
        <w:pStyle w:val="Prrafodelista"/>
      </w:pPr>
      <w:r w:rsidRPr="001E3ABD">
        <w:t xml:space="preserve"> </w:t>
      </w:r>
    </w:p>
    <w:p w14:paraId="1E217AF5" w14:textId="0576BCA3" w:rsidR="003C652D" w:rsidRDefault="003C652D" w:rsidP="00561B49">
      <w:pPr>
        <w:pStyle w:val="Prrafodelista"/>
      </w:pPr>
    </w:p>
    <w:p w14:paraId="372F631A" w14:textId="2FF9A487" w:rsidR="003C652D" w:rsidRDefault="003C652D" w:rsidP="00561B49">
      <w:pPr>
        <w:pStyle w:val="Prrafodelista"/>
      </w:pPr>
    </w:p>
    <w:p w14:paraId="17299ED8" w14:textId="32BF891B" w:rsidR="003C652D" w:rsidRDefault="003C652D" w:rsidP="00561B49">
      <w:pPr>
        <w:pStyle w:val="Prrafodelista"/>
      </w:pPr>
    </w:p>
    <w:p w14:paraId="78FB92F8" w14:textId="4D911014" w:rsidR="003C652D" w:rsidRDefault="007C586B" w:rsidP="00561B49">
      <w:pPr>
        <w:pStyle w:val="Prrafodelista"/>
      </w:pPr>
      <w:r>
        <w:rPr>
          <w:noProof/>
        </w:rPr>
        <w:drawing>
          <wp:anchor distT="0" distB="0" distL="114300" distR="114300" simplePos="0" relativeHeight="251673600" behindDoc="0" locked="0" layoutInCell="1" allowOverlap="1" wp14:anchorId="0DD67F15" wp14:editId="5122AE33">
            <wp:simplePos x="0" y="0"/>
            <wp:positionH relativeFrom="page">
              <wp:align>left</wp:align>
            </wp:positionH>
            <wp:positionV relativeFrom="paragraph">
              <wp:posOffset>-949391</wp:posOffset>
            </wp:positionV>
            <wp:extent cx="7784327" cy="10073884"/>
            <wp:effectExtent l="0" t="0" r="7620" b="3810"/>
            <wp:wrapNone/>
            <wp:docPr id="13" name="Imagen 13"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7784327" cy="10073884"/>
                    </a:xfrm>
                    <a:prstGeom prst="rect">
                      <a:avLst/>
                    </a:prstGeom>
                  </pic:spPr>
                </pic:pic>
              </a:graphicData>
            </a:graphic>
            <wp14:sizeRelH relativeFrom="margin">
              <wp14:pctWidth>0</wp14:pctWidth>
            </wp14:sizeRelH>
            <wp14:sizeRelV relativeFrom="margin">
              <wp14:pctHeight>0</wp14:pctHeight>
            </wp14:sizeRelV>
          </wp:anchor>
        </w:drawing>
      </w:r>
    </w:p>
    <w:p w14:paraId="115961EA" w14:textId="2D0E0083" w:rsidR="003C652D" w:rsidRDefault="003C652D" w:rsidP="00561B49">
      <w:pPr>
        <w:pStyle w:val="Prrafodelista"/>
      </w:pPr>
    </w:p>
    <w:p w14:paraId="0D366567" w14:textId="4E156B2F" w:rsidR="003C652D" w:rsidRDefault="003C652D" w:rsidP="00561B49">
      <w:pPr>
        <w:pStyle w:val="Prrafodelista"/>
      </w:pPr>
    </w:p>
    <w:p w14:paraId="0AC827FF" w14:textId="3BB30BF9" w:rsidR="00196ACE" w:rsidRDefault="00196ACE" w:rsidP="00561B49">
      <w:pPr>
        <w:pStyle w:val="Prrafodelista"/>
      </w:pPr>
    </w:p>
    <w:p w14:paraId="5EDF1AFC" w14:textId="301B12FC" w:rsidR="00196ACE" w:rsidRDefault="00196ACE" w:rsidP="00561B49">
      <w:pPr>
        <w:pStyle w:val="Prrafodelista"/>
      </w:pPr>
    </w:p>
    <w:p w14:paraId="19B4146F" w14:textId="2C80935C" w:rsidR="00196ACE" w:rsidRDefault="00196ACE" w:rsidP="00561B49">
      <w:pPr>
        <w:pStyle w:val="Prrafodelista"/>
      </w:pPr>
    </w:p>
    <w:p w14:paraId="5BA1EA44" w14:textId="6DA5153B" w:rsidR="00196ACE" w:rsidRDefault="00196ACE" w:rsidP="00561B49">
      <w:pPr>
        <w:pStyle w:val="Prrafodelista"/>
      </w:pPr>
    </w:p>
    <w:p w14:paraId="712C732A" w14:textId="514B007A" w:rsidR="00196ACE" w:rsidRDefault="00196ACE" w:rsidP="00561B49">
      <w:pPr>
        <w:pStyle w:val="Prrafodelista"/>
      </w:pPr>
    </w:p>
    <w:p w14:paraId="455E29A7" w14:textId="4870C3A2" w:rsidR="00196ACE" w:rsidRDefault="00196ACE" w:rsidP="00561B49">
      <w:pPr>
        <w:pStyle w:val="Prrafodelista"/>
      </w:pPr>
    </w:p>
    <w:p w14:paraId="290E0122" w14:textId="194E42AE" w:rsidR="00196ACE" w:rsidRDefault="00196ACE" w:rsidP="00561B49">
      <w:pPr>
        <w:pStyle w:val="Prrafodelista"/>
      </w:pPr>
    </w:p>
    <w:p w14:paraId="6A60D211" w14:textId="1F67D39C" w:rsidR="00196ACE" w:rsidRDefault="00196ACE" w:rsidP="00561B49">
      <w:pPr>
        <w:pStyle w:val="Prrafodelista"/>
      </w:pPr>
    </w:p>
    <w:p w14:paraId="6D2DBDB1" w14:textId="0ED32E15" w:rsidR="00196ACE" w:rsidRDefault="00196ACE" w:rsidP="00561B49">
      <w:pPr>
        <w:pStyle w:val="Prrafodelista"/>
      </w:pPr>
    </w:p>
    <w:p w14:paraId="569B9BFE" w14:textId="2ABC3A3D" w:rsidR="00196ACE" w:rsidRDefault="00196ACE" w:rsidP="00561B49">
      <w:pPr>
        <w:pStyle w:val="Prrafodelista"/>
      </w:pPr>
    </w:p>
    <w:p w14:paraId="1212FD45" w14:textId="7D8B0200" w:rsidR="00196ACE" w:rsidRDefault="00196ACE" w:rsidP="00561B49">
      <w:pPr>
        <w:pStyle w:val="Prrafodelista"/>
      </w:pPr>
    </w:p>
    <w:p w14:paraId="58D8B435" w14:textId="0C8638FD" w:rsidR="00196ACE" w:rsidRDefault="00196ACE" w:rsidP="00561B49">
      <w:pPr>
        <w:pStyle w:val="Prrafodelista"/>
      </w:pPr>
    </w:p>
    <w:p w14:paraId="1444EC53" w14:textId="332AD849" w:rsidR="00196ACE" w:rsidRDefault="00196ACE" w:rsidP="00561B49">
      <w:pPr>
        <w:pStyle w:val="Prrafodelista"/>
      </w:pPr>
    </w:p>
    <w:p w14:paraId="0DB841D6" w14:textId="70C275FF" w:rsidR="00196ACE" w:rsidRDefault="00196ACE" w:rsidP="00561B49">
      <w:pPr>
        <w:pStyle w:val="Prrafodelista"/>
      </w:pPr>
    </w:p>
    <w:p w14:paraId="6F35ADDF" w14:textId="795C3620" w:rsidR="00196ACE" w:rsidRDefault="00196ACE" w:rsidP="00561B49">
      <w:pPr>
        <w:pStyle w:val="Prrafodelista"/>
      </w:pPr>
    </w:p>
    <w:p w14:paraId="61955C0A" w14:textId="39F8D38F" w:rsidR="00196ACE" w:rsidRDefault="00196ACE" w:rsidP="00561B49">
      <w:pPr>
        <w:pStyle w:val="Prrafodelista"/>
      </w:pPr>
    </w:p>
    <w:p w14:paraId="19D8EC51" w14:textId="31EEB153" w:rsidR="00196ACE" w:rsidRDefault="00196ACE" w:rsidP="00561B49">
      <w:pPr>
        <w:pStyle w:val="Prrafodelista"/>
      </w:pPr>
    </w:p>
    <w:p w14:paraId="2D158516" w14:textId="2D9F5EDB" w:rsidR="00196ACE" w:rsidRDefault="00196ACE" w:rsidP="00561B49">
      <w:pPr>
        <w:pStyle w:val="Prrafodelista"/>
      </w:pPr>
    </w:p>
    <w:p w14:paraId="5606C46F" w14:textId="5CAABE19" w:rsidR="00196ACE" w:rsidRDefault="00196ACE" w:rsidP="00561B49">
      <w:pPr>
        <w:pStyle w:val="Prrafodelista"/>
      </w:pPr>
    </w:p>
    <w:p w14:paraId="1D4BB4E1" w14:textId="7C66CF83" w:rsidR="00196ACE" w:rsidRDefault="00196ACE" w:rsidP="00561B49">
      <w:pPr>
        <w:pStyle w:val="Prrafodelista"/>
      </w:pPr>
    </w:p>
    <w:p w14:paraId="0F33C223" w14:textId="4FAB81C5" w:rsidR="00196ACE" w:rsidRDefault="00196ACE" w:rsidP="00561B49">
      <w:pPr>
        <w:pStyle w:val="Prrafodelista"/>
      </w:pPr>
    </w:p>
    <w:p w14:paraId="019E403B" w14:textId="2F12CCDC" w:rsidR="00196ACE" w:rsidRDefault="00196ACE" w:rsidP="00561B49">
      <w:pPr>
        <w:pStyle w:val="Prrafodelista"/>
      </w:pPr>
    </w:p>
    <w:p w14:paraId="7F49DAF4" w14:textId="4F61AF79" w:rsidR="00196ACE" w:rsidRDefault="00196ACE" w:rsidP="00561B49">
      <w:pPr>
        <w:pStyle w:val="Prrafodelista"/>
      </w:pPr>
    </w:p>
    <w:p w14:paraId="71959BAE" w14:textId="1382638A" w:rsidR="00196ACE" w:rsidRDefault="00196ACE" w:rsidP="00561B49">
      <w:pPr>
        <w:pStyle w:val="Prrafodelista"/>
      </w:pPr>
    </w:p>
    <w:p w14:paraId="0C316C65" w14:textId="5F180833" w:rsidR="00196ACE" w:rsidRDefault="00196ACE" w:rsidP="00561B49">
      <w:pPr>
        <w:pStyle w:val="Prrafodelista"/>
      </w:pPr>
    </w:p>
    <w:p w14:paraId="37FF7E7E" w14:textId="5FA48C2D" w:rsidR="00196ACE" w:rsidRDefault="00196ACE" w:rsidP="00561B49">
      <w:pPr>
        <w:pStyle w:val="Prrafodelista"/>
      </w:pPr>
    </w:p>
    <w:p w14:paraId="46A28379" w14:textId="639A8CBA" w:rsidR="00196ACE" w:rsidRDefault="00196ACE" w:rsidP="00561B49">
      <w:pPr>
        <w:pStyle w:val="Prrafodelista"/>
      </w:pPr>
    </w:p>
    <w:p w14:paraId="3B159842" w14:textId="467EE9E7" w:rsidR="00196ACE" w:rsidRDefault="00196ACE" w:rsidP="00561B49">
      <w:pPr>
        <w:pStyle w:val="Prrafodelista"/>
      </w:pPr>
    </w:p>
    <w:p w14:paraId="0DE0192A" w14:textId="6932165B" w:rsidR="00196ACE" w:rsidRDefault="00196ACE" w:rsidP="00561B49">
      <w:pPr>
        <w:pStyle w:val="Prrafodelista"/>
      </w:pPr>
    </w:p>
    <w:p w14:paraId="41908071" w14:textId="5F9C51A8" w:rsidR="00196ACE" w:rsidRDefault="00196ACE" w:rsidP="00561B49">
      <w:pPr>
        <w:pStyle w:val="Prrafodelista"/>
      </w:pPr>
    </w:p>
    <w:p w14:paraId="0AF5755F" w14:textId="05A4811A" w:rsidR="00196ACE" w:rsidRDefault="00196ACE" w:rsidP="00561B49">
      <w:pPr>
        <w:pStyle w:val="Prrafodelista"/>
      </w:pPr>
    </w:p>
    <w:p w14:paraId="12F96FC8" w14:textId="0641FB04" w:rsidR="00196ACE" w:rsidRDefault="00196ACE" w:rsidP="00561B49">
      <w:pPr>
        <w:pStyle w:val="Prrafodelista"/>
      </w:pPr>
    </w:p>
    <w:p w14:paraId="2C477423" w14:textId="4C3F3895" w:rsidR="00196ACE" w:rsidRDefault="00196ACE" w:rsidP="00561B49">
      <w:pPr>
        <w:pStyle w:val="Prrafodelista"/>
      </w:pPr>
    </w:p>
    <w:p w14:paraId="306A8C1D" w14:textId="028E022A" w:rsidR="00196ACE" w:rsidRDefault="00196ACE" w:rsidP="00561B49">
      <w:pPr>
        <w:pStyle w:val="Prrafodelista"/>
      </w:pPr>
    </w:p>
    <w:p w14:paraId="1CF5BFA1" w14:textId="1AC54A13" w:rsidR="00196ACE" w:rsidRDefault="00196ACE" w:rsidP="00561B49">
      <w:pPr>
        <w:pStyle w:val="Prrafodelista"/>
      </w:pPr>
    </w:p>
    <w:p w14:paraId="1DB7896E" w14:textId="2520023A" w:rsidR="00196ACE" w:rsidRDefault="00196ACE" w:rsidP="00561B49">
      <w:pPr>
        <w:pStyle w:val="Prrafodelista"/>
      </w:pPr>
    </w:p>
    <w:p w14:paraId="58022690" w14:textId="77777777" w:rsidR="00196ACE" w:rsidRDefault="00196ACE" w:rsidP="00561B49">
      <w:pPr>
        <w:pStyle w:val="Prrafodelista"/>
      </w:pPr>
    </w:p>
    <w:p w14:paraId="063ED97B" w14:textId="77777777" w:rsidR="00561B49" w:rsidRPr="00A108E1" w:rsidRDefault="00561B49" w:rsidP="00561B49">
      <w:pPr>
        <w:spacing w:line="276" w:lineRule="auto"/>
        <w:rPr>
          <w:rFonts w:ascii="Cambria" w:hAnsi="Cambria"/>
          <w:szCs w:val="24"/>
        </w:rPr>
      </w:pPr>
    </w:p>
    <w:p w14:paraId="1174DB33" w14:textId="67C7236A" w:rsidR="00561B49" w:rsidRPr="00D561C9" w:rsidRDefault="00561B49" w:rsidP="00D561C9">
      <w:pPr>
        <w:pStyle w:val="Ttulo1"/>
        <w:rPr>
          <w:rFonts w:ascii="Cambria" w:hAnsi="Cambria" w:cs="Times New Roman"/>
          <w:b/>
          <w:bCs/>
          <w:color w:val="1E9BD7"/>
          <w:sz w:val="28"/>
          <w:szCs w:val="28"/>
        </w:rPr>
        <w:sectPr w:rsidR="00561B49" w:rsidRPr="00D561C9" w:rsidSect="0017097B">
          <w:headerReference w:type="even" r:id="rId13"/>
          <w:headerReference w:type="default" r:id="rId14"/>
          <w:footerReference w:type="default" r:id="rId15"/>
          <w:headerReference w:type="first" r:id="rId16"/>
          <w:pgSz w:w="12240" w:h="15840"/>
          <w:pgMar w:top="1440" w:right="1440" w:bottom="1440" w:left="1440" w:header="340" w:footer="170" w:gutter="0"/>
          <w:cols w:space="708"/>
          <w:docGrid w:linePitch="360"/>
        </w:sectPr>
      </w:pPr>
      <w:bookmarkStart w:id="4" w:name="_Toc114130272"/>
      <w:r w:rsidRPr="00597865">
        <w:rPr>
          <w:rFonts w:ascii="Cambria" w:hAnsi="Cambria"/>
          <w:noProof/>
        </w:rPr>
        <w:drawing>
          <wp:anchor distT="0" distB="0" distL="114300" distR="114300" simplePos="0" relativeHeight="251663360" behindDoc="0" locked="0" layoutInCell="1" allowOverlap="1" wp14:anchorId="3A6F1E55" wp14:editId="7FBF98F9">
            <wp:simplePos x="0" y="0"/>
            <wp:positionH relativeFrom="margin">
              <wp:align>left</wp:align>
            </wp:positionH>
            <wp:positionV relativeFrom="paragraph">
              <wp:posOffset>90170</wp:posOffset>
            </wp:positionV>
            <wp:extent cx="189865" cy="189865"/>
            <wp:effectExtent l="0" t="0" r="635" b="635"/>
            <wp:wrapSquare wrapText="bothSides"/>
            <wp:docPr id="46" name="Gráfico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9865" cy="189865"/>
                    </a:xfrm>
                    <a:prstGeom prst="rect">
                      <a:avLst/>
                    </a:prstGeom>
                  </pic:spPr>
                </pic:pic>
              </a:graphicData>
            </a:graphic>
            <wp14:sizeRelH relativeFrom="margin">
              <wp14:pctWidth>0</wp14:pctWidth>
            </wp14:sizeRelH>
            <wp14:sizeRelV relativeFrom="margin">
              <wp14:pctHeight>0</wp14:pctHeight>
            </wp14:sizeRelV>
          </wp:anchor>
        </w:drawing>
      </w:r>
      <w:r w:rsidRPr="00597865">
        <w:rPr>
          <w:rFonts w:ascii="Cambria" w:hAnsi="Cambria" w:cs="Times New Roman"/>
          <w:b/>
          <w:bCs/>
          <w:color w:val="1E9BD7"/>
          <w:sz w:val="28"/>
          <w:szCs w:val="28"/>
        </w:rPr>
        <w:t>Litigiosidad</w:t>
      </w:r>
      <w:bookmarkEnd w:id="4"/>
      <w:r w:rsidRPr="00597865">
        <w:rPr>
          <w:rFonts w:ascii="Cambria" w:hAnsi="Cambria" w:cs="Times New Roman"/>
          <w:b/>
          <w:bCs/>
          <w:color w:val="1E9BD7"/>
          <w:sz w:val="28"/>
          <w:szCs w:val="28"/>
        </w:rPr>
        <w:t xml:space="preserve"> </w:t>
      </w:r>
    </w:p>
    <w:p w14:paraId="4B09FF81" w14:textId="07C1CA81" w:rsidR="00561B49" w:rsidRPr="00D561C9" w:rsidRDefault="00561B49" w:rsidP="00D561C9">
      <w:pPr>
        <w:spacing w:line="276" w:lineRule="auto"/>
        <w:rPr>
          <w:rFonts w:ascii="Cambria" w:hAnsi="Cambria"/>
          <w:color w:val="262626" w:themeColor="text1" w:themeTint="D9"/>
        </w:rPr>
        <w:sectPr w:rsidR="00561B49" w:rsidRPr="00D561C9" w:rsidSect="0017097B">
          <w:type w:val="continuous"/>
          <w:pgSz w:w="12240" w:h="15840"/>
          <w:pgMar w:top="1440" w:right="1440" w:bottom="1440" w:left="1440" w:header="340" w:footer="170" w:gutter="0"/>
          <w:cols w:space="708"/>
          <w:docGrid w:linePitch="360"/>
        </w:sectPr>
      </w:pPr>
    </w:p>
    <w:p w14:paraId="00293831" w14:textId="0F6E8516" w:rsidR="00E979A0" w:rsidRDefault="00D561C9" w:rsidP="00BB7469">
      <w:pPr>
        <w:spacing w:line="276" w:lineRule="auto"/>
        <w:rPr>
          <w:rFonts w:ascii="Cambria" w:hAnsi="Cambria"/>
          <w:color w:val="262626" w:themeColor="text1" w:themeTint="D9"/>
          <w:szCs w:val="24"/>
        </w:rPr>
      </w:pPr>
      <w:r w:rsidRPr="00D561C9">
        <w:rPr>
          <w:rFonts w:ascii="Cambria" w:hAnsi="Cambria"/>
          <w:color w:val="262626" w:themeColor="text1" w:themeTint="D9"/>
          <w:szCs w:val="24"/>
        </w:rPr>
        <w:t xml:space="preserve">En el ámbito del derecho procesal, se denominan puntos litigiosos a todos aquellos aspectos sobre los que existe controversia entre las partes y sobre los cuales se debe buscar una resolución judicial, de este modo será la persona juzgadora la que solucione el conflicto mediante sentencia. </w:t>
      </w:r>
    </w:p>
    <w:p w14:paraId="1DF4678C" w14:textId="77777777" w:rsidR="00E979A0" w:rsidRPr="00D561C9" w:rsidRDefault="00E979A0" w:rsidP="00BB7469">
      <w:pPr>
        <w:spacing w:line="276" w:lineRule="auto"/>
        <w:rPr>
          <w:rFonts w:ascii="Cambria" w:hAnsi="Cambria"/>
          <w:color w:val="262626" w:themeColor="text1" w:themeTint="D9"/>
          <w:szCs w:val="24"/>
        </w:rPr>
      </w:pPr>
    </w:p>
    <w:p w14:paraId="25CA2588" w14:textId="7378877E" w:rsidR="00D561C9" w:rsidRDefault="00D561C9" w:rsidP="00BB7469">
      <w:pPr>
        <w:spacing w:line="276" w:lineRule="auto"/>
        <w:rPr>
          <w:rFonts w:ascii="Cambria" w:hAnsi="Cambria"/>
          <w:color w:val="262626" w:themeColor="text1" w:themeTint="D9"/>
          <w:szCs w:val="24"/>
        </w:rPr>
      </w:pPr>
      <w:r w:rsidRPr="00D561C9">
        <w:rPr>
          <w:rFonts w:ascii="Cambria" w:hAnsi="Cambria"/>
          <w:color w:val="262626" w:themeColor="text1" w:themeTint="D9"/>
          <w:szCs w:val="24"/>
        </w:rPr>
        <w:t xml:space="preserve">Los asuntos ingresados a partir del año 2019 presentan una constante hacia la baja, para el año 2021 sin embargo, dicha disminución fue apenas del 3,2% con respecto del año 2020, lo que equivale a 69 expedientes. </w:t>
      </w:r>
    </w:p>
    <w:p w14:paraId="71F2ECAC" w14:textId="77777777" w:rsidR="00E979A0" w:rsidRPr="00D561C9" w:rsidRDefault="00E979A0" w:rsidP="00BB7469">
      <w:pPr>
        <w:spacing w:line="276" w:lineRule="auto"/>
        <w:rPr>
          <w:rFonts w:ascii="Cambria" w:hAnsi="Cambria"/>
          <w:color w:val="262626" w:themeColor="text1" w:themeTint="D9"/>
          <w:szCs w:val="24"/>
        </w:rPr>
      </w:pPr>
    </w:p>
    <w:p w14:paraId="570EA247" w14:textId="77777777" w:rsidR="00D561C9" w:rsidRDefault="00D561C9" w:rsidP="00BB7469">
      <w:pPr>
        <w:spacing w:line="276" w:lineRule="auto"/>
        <w:rPr>
          <w:rFonts w:ascii="Cambria" w:hAnsi="Cambria"/>
          <w:color w:val="262626" w:themeColor="text1" w:themeTint="D9"/>
          <w:szCs w:val="24"/>
        </w:rPr>
      </w:pPr>
      <w:r w:rsidRPr="00D561C9">
        <w:rPr>
          <w:rFonts w:ascii="Cambria" w:hAnsi="Cambria"/>
          <w:color w:val="262626" w:themeColor="text1" w:themeTint="D9"/>
          <w:szCs w:val="24"/>
        </w:rPr>
        <w:t>El siguiente gráfico, muestra los movimientos de esta variable durante el período del año 2010 al 2021.</w:t>
      </w:r>
    </w:p>
    <w:p w14:paraId="0D71B61D" w14:textId="77777777" w:rsidR="00D561C9" w:rsidRDefault="00D561C9" w:rsidP="00D561C9">
      <w:pPr>
        <w:spacing w:line="276" w:lineRule="auto"/>
        <w:rPr>
          <w:rFonts w:ascii="Cambria" w:hAnsi="Cambria"/>
          <w:color w:val="262626" w:themeColor="text1" w:themeTint="D9"/>
          <w:szCs w:val="24"/>
        </w:rPr>
      </w:pPr>
    </w:p>
    <w:p w14:paraId="7678C2C9" w14:textId="45547EF0" w:rsidR="00D561C9" w:rsidRPr="00D561C9" w:rsidRDefault="00D561C9" w:rsidP="00D561C9">
      <w:pPr>
        <w:spacing w:line="276" w:lineRule="auto"/>
        <w:rPr>
          <w:rFonts w:ascii="Cambria" w:hAnsi="Cambria"/>
          <w:color w:val="262626" w:themeColor="text1" w:themeTint="D9"/>
          <w:szCs w:val="24"/>
        </w:rPr>
      </w:pPr>
      <w:r w:rsidRPr="00AF18A0">
        <w:rPr>
          <w:rFonts w:ascii="Cambria" w:hAnsi="Cambria"/>
          <w:noProof/>
          <w:color w:val="262626"/>
          <w:szCs w:val="24"/>
        </w:rPr>
        <w:drawing>
          <wp:inline distT="0" distB="0" distL="0" distR="0" wp14:anchorId="11D5988D" wp14:editId="4ADAC215">
            <wp:extent cx="2707640" cy="1697990"/>
            <wp:effectExtent l="0" t="0" r="0" b="0"/>
            <wp:docPr id="15" name="Imagen 15"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ráfico, Gráfico de líneas&#10;&#10;Descripción generada automá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7640" cy="1697990"/>
                    </a:xfrm>
                    <a:prstGeom prst="rect">
                      <a:avLst/>
                    </a:prstGeom>
                    <a:noFill/>
                    <a:ln>
                      <a:noFill/>
                    </a:ln>
                  </pic:spPr>
                </pic:pic>
              </a:graphicData>
            </a:graphic>
          </wp:inline>
        </w:drawing>
      </w:r>
    </w:p>
    <w:p w14:paraId="0E65A9A5" w14:textId="6807303D" w:rsidR="00D561C9" w:rsidRDefault="00D561C9" w:rsidP="000D13FA">
      <w:pPr>
        <w:spacing w:line="276" w:lineRule="auto"/>
        <w:rPr>
          <w:rFonts w:ascii="Cambria" w:hAnsi="Cambria"/>
          <w:color w:val="262626" w:themeColor="text1" w:themeTint="D9"/>
        </w:rPr>
      </w:pPr>
    </w:p>
    <w:p w14:paraId="7E99A278" w14:textId="3A1319A0" w:rsidR="00D561C9" w:rsidRDefault="00D561C9" w:rsidP="00D561C9">
      <w:pPr>
        <w:spacing w:line="276" w:lineRule="auto"/>
        <w:rPr>
          <w:rFonts w:ascii="Cambria" w:hAnsi="Cambria"/>
          <w:color w:val="262626"/>
        </w:rPr>
      </w:pPr>
      <w:r w:rsidRPr="00AF18A0">
        <w:rPr>
          <w:rFonts w:ascii="Cambria" w:hAnsi="Cambria"/>
          <w:color w:val="262626"/>
        </w:rPr>
        <w:t>Las cifras indican un aumento considerable de asuntos entrados a partir del año 2017, situación que coincide con la entrada en vigor de la Reforma Procesal Laboral en julio de ese mismo año y que se replica en los siguientes años, aun cuando los dos últimos años hubo un descenso en la entrada de nuevos asuntos, las cifras son mayores a las del año 2016.</w:t>
      </w:r>
    </w:p>
    <w:p w14:paraId="09CAE1C6" w14:textId="77777777" w:rsidR="00E979A0" w:rsidRPr="00AF18A0" w:rsidRDefault="00E979A0" w:rsidP="00D561C9">
      <w:pPr>
        <w:spacing w:line="276" w:lineRule="auto"/>
        <w:rPr>
          <w:rFonts w:ascii="Cambria" w:hAnsi="Cambria"/>
          <w:color w:val="262626"/>
        </w:rPr>
      </w:pPr>
    </w:p>
    <w:p w14:paraId="527F005E" w14:textId="220C732E" w:rsidR="00D561C9" w:rsidRDefault="00D561C9" w:rsidP="00D561C9">
      <w:pPr>
        <w:spacing w:line="276" w:lineRule="auto"/>
        <w:rPr>
          <w:rFonts w:ascii="Cambria" w:hAnsi="Cambria" w:cs="Arial"/>
          <w:color w:val="FF0000"/>
        </w:rPr>
      </w:pPr>
      <w:r w:rsidRPr="00AF18A0">
        <w:rPr>
          <w:rFonts w:ascii="Cambria" w:hAnsi="Cambria"/>
          <w:color w:val="262626"/>
        </w:rPr>
        <w:t xml:space="preserve">La composición de los asuntos entrados es muy variada por cuanto la Sala Segunda conoce la tramitación de diversas materias: como Trabajo, Familia, Civil, Contencioso Administrativa, Pensiones Alimentarias, Niñez y Adolescencia, Violencia Doméstica, </w:t>
      </w:r>
      <w:r w:rsidRPr="00882163">
        <w:rPr>
          <w:rFonts w:ascii="Cambria" w:hAnsi="Cambria"/>
          <w:color w:val="000000"/>
        </w:rPr>
        <w:t xml:space="preserve">Agrario entre otras, no obstante, se debe tener presente que su tramitación no implica una competencia por parte de la Sala </w:t>
      </w:r>
      <w:r w:rsidRPr="00882163">
        <w:rPr>
          <w:rFonts w:ascii="Cambria" w:hAnsi="Cambria" w:cs="Arial"/>
          <w:color w:val="000000"/>
        </w:rPr>
        <w:t>para conocer por el fondo asuntos pertenecientes a esas materias, sino que corresponden a asuntos en los que se debe resolver algún tema de competencia o que las partes interponen recursos de casación o revisión, contra sentencias dictadas en procesos de esas materias.</w:t>
      </w:r>
    </w:p>
    <w:p w14:paraId="52AB8241" w14:textId="77777777" w:rsidR="00E979A0" w:rsidRPr="00E979A0" w:rsidRDefault="00E979A0" w:rsidP="00D561C9">
      <w:pPr>
        <w:spacing w:line="276" w:lineRule="auto"/>
        <w:rPr>
          <w:rFonts w:ascii="Cambria" w:hAnsi="Cambria" w:cs="Arial"/>
          <w:color w:val="FF0000"/>
        </w:rPr>
      </w:pPr>
    </w:p>
    <w:p w14:paraId="6D3DEF16" w14:textId="77777777" w:rsidR="00D561C9" w:rsidRPr="00AF18A0" w:rsidRDefault="00D561C9" w:rsidP="00D561C9">
      <w:pPr>
        <w:spacing w:line="276" w:lineRule="auto"/>
        <w:rPr>
          <w:rFonts w:ascii="Cambria" w:hAnsi="Cambria"/>
          <w:color w:val="262626"/>
        </w:rPr>
      </w:pPr>
      <w:r w:rsidRPr="00AF18A0">
        <w:rPr>
          <w:rFonts w:ascii="Cambria" w:hAnsi="Cambria"/>
          <w:color w:val="262626"/>
        </w:rPr>
        <w:t>La siguiente tabla hace una comparación sobre la composición de los asuntos entrados en la Sala durante los últimos dos años:</w:t>
      </w:r>
    </w:p>
    <w:p w14:paraId="76D27BA2" w14:textId="6252B5F7" w:rsidR="00D561C9" w:rsidRDefault="00D561C9" w:rsidP="000D13FA">
      <w:pPr>
        <w:spacing w:line="276" w:lineRule="auto"/>
        <w:rPr>
          <w:rFonts w:ascii="Cambria" w:hAnsi="Cambria"/>
          <w:color w:val="262626" w:themeColor="text1" w:themeTint="D9"/>
        </w:rPr>
      </w:pPr>
      <w:r>
        <w:rPr>
          <w:rFonts w:ascii="Cambria" w:hAnsi="Cambria"/>
          <w:noProof/>
          <w:color w:val="262626"/>
        </w:rPr>
        <w:drawing>
          <wp:inline distT="0" distB="0" distL="0" distR="0" wp14:anchorId="78DCFF78" wp14:editId="2F72CDEC">
            <wp:extent cx="2747010" cy="124777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7010" cy="1247775"/>
                    </a:xfrm>
                    <a:prstGeom prst="rect">
                      <a:avLst/>
                    </a:prstGeom>
                    <a:noFill/>
                    <a:ln>
                      <a:noFill/>
                    </a:ln>
                  </pic:spPr>
                </pic:pic>
              </a:graphicData>
            </a:graphic>
          </wp:inline>
        </w:drawing>
      </w:r>
    </w:p>
    <w:p w14:paraId="7392C1B8" w14:textId="3A9F4903" w:rsidR="00D561C9" w:rsidRDefault="00D561C9" w:rsidP="000D13FA">
      <w:pPr>
        <w:spacing w:line="276" w:lineRule="auto"/>
        <w:rPr>
          <w:rFonts w:ascii="Cambria" w:hAnsi="Cambria"/>
          <w:color w:val="262626" w:themeColor="text1" w:themeTint="D9"/>
        </w:rPr>
      </w:pPr>
    </w:p>
    <w:p w14:paraId="4C94895F" w14:textId="474429D1" w:rsidR="00D561C9" w:rsidRDefault="00D561C9" w:rsidP="00D561C9">
      <w:pPr>
        <w:spacing w:line="276" w:lineRule="auto"/>
        <w:rPr>
          <w:rFonts w:ascii="Cambria" w:hAnsi="Cambria"/>
          <w:color w:val="262626"/>
        </w:rPr>
      </w:pPr>
      <w:r w:rsidRPr="00AF18A0">
        <w:rPr>
          <w:rFonts w:ascii="Cambria" w:hAnsi="Cambria"/>
          <w:color w:val="262626"/>
        </w:rPr>
        <w:t>De lo anterior se observa que la materia a la cual le ingresan la mayoría de los asuntos nuevos o entrados corresponde a la de Trabajo, y según análisis de estudios de años anteriores, esa ha sido la constante en cuanto a esa materia, siendo su principal insumo.</w:t>
      </w:r>
    </w:p>
    <w:p w14:paraId="1D051C4E" w14:textId="77777777" w:rsidR="00E979A0" w:rsidRPr="00AF18A0" w:rsidRDefault="00E979A0" w:rsidP="00D561C9">
      <w:pPr>
        <w:spacing w:line="276" w:lineRule="auto"/>
        <w:rPr>
          <w:rFonts w:ascii="Cambria" w:hAnsi="Cambria"/>
          <w:color w:val="262626"/>
        </w:rPr>
      </w:pPr>
    </w:p>
    <w:p w14:paraId="7966DC2C" w14:textId="681BACF5" w:rsidR="00D561C9" w:rsidRDefault="00D561C9" w:rsidP="00D561C9">
      <w:pPr>
        <w:spacing w:line="276" w:lineRule="auto"/>
        <w:rPr>
          <w:rFonts w:ascii="Cambria" w:hAnsi="Cambria"/>
          <w:color w:val="262626"/>
        </w:rPr>
      </w:pPr>
      <w:r w:rsidRPr="00AF18A0">
        <w:rPr>
          <w:rFonts w:ascii="Cambria" w:hAnsi="Cambria"/>
          <w:color w:val="262626"/>
        </w:rPr>
        <w:t>Sobre este particular, el impacto que tuvo la Reforma Laboral en Sala ante el incremento de asuntos nuevos solo vino a ratificar lo que se ha demostrado por años, y es que la mayoría de los asuntos tramitados pertenecen a la materia Laboral.</w:t>
      </w:r>
    </w:p>
    <w:p w14:paraId="08C71DEE" w14:textId="77777777" w:rsidR="00E979A0" w:rsidRPr="00AF18A0" w:rsidRDefault="00E979A0" w:rsidP="00D561C9">
      <w:pPr>
        <w:spacing w:line="276" w:lineRule="auto"/>
        <w:rPr>
          <w:rFonts w:ascii="Cambria" w:hAnsi="Cambria"/>
          <w:color w:val="262626"/>
        </w:rPr>
      </w:pPr>
    </w:p>
    <w:p w14:paraId="7A197BF1" w14:textId="77777777" w:rsidR="00D561C9" w:rsidRPr="00AF18A0" w:rsidRDefault="00D561C9" w:rsidP="00D561C9">
      <w:pPr>
        <w:spacing w:line="276" w:lineRule="auto"/>
        <w:rPr>
          <w:rFonts w:ascii="Cambria" w:hAnsi="Cambria"/>
          <w:color w:val="262626"/>
          <w:szCs w:val="24"/>
        </w:rPr>
      </w:pPr>
      <w:r w:rsidRPr="00AF18A0">
        <w:rPr>
          <w:rFonts w:ascii="Cambria" w:hAnsi="Cambria"/>
          <w:color w:val="262626"/>
        </w:rPr>
        <w:t xml:space="preserve">Otro aspecto importante de mencionar es que aparece en los casos entrados, dos asuntos cuya materia se denomina “Sala </w:t>
      </w:r>
      <w:r w:rsidRPr="00AF18A0">
        <w:rPr>
          <w:rFonts w:ascii="Cambria" w:hAnsi="Cambria"/>
          <w:color w:val="262626"/>
          <w:szCs w:val="24"/>
        </w:rPr>
        <w:t>Segunda” esto obedece a que son asuntos que solo le competen a este despacho tales como: tramitación de los procesos de Cooperación Judicial Internacional y Auxilio Judicial Internacional (Exequátur y cartas rogatorias, sin embargo, no fueron ubicados en la materia que corresponde.</w:t>
      </w:r>
    </w:p>
    <w:p w14:paraId="3EB4C569" w14:textId="78CBB9AE" w:rsidR="00D561C9" w:rsidRDefault="00D561C9" w:rsidP="00D561C9">
      <w:pPr>
        <w:spacing w:line="276" w:lineRule="auto"/>
        <w:rPr>
          <w:rFonts w:ascii="Cambria" w:hAnsi="Cambria"/>
          <w:color w:val="262626"/>
          <w:szCs w:val="24"/>
        </w:rPr>
      </w:pPr>
      <w:r>
        <w:rPr>
          <w:rFonts w:ascii="Cambria" w:hAnsi="Cambria"/>
          <w:noProof/>
          <w:color w:val="262626"/>
          <w:szCs w:val="24"/>
        </w:rPr>
        <w:drawing>
          <wp:anchor distT="0" distB="0" distL="114300" distR="114300" simplePos="0" relativeHeight="251674624" behindDoc="0" locked="0" layoutInCell="1" allowOverlap="1" wp14:anchorId="4C049FDE" wp14:editId="00A6D91A">
            <wp:simplePos x="0" y="0"/>
            <wp:positionH relativeFrom="column">
              <wp:align>right</wp:align>
            </wp:positionH>
            <wp:positionV relativeFrom="paragraph">
              <wp:posOffset>1561740</wp:posOffset>
            </wp:positionV>
            <wp:extent cx="2747010" cy="1139190"/>
            <wp:effectExtent l="0" t="0" r="0" b="381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7010" cy="1139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18A0">
        <w:rPr>
          <w:rFonts w:ascii="Cambria" w:hAnsi="Cambria"/>
          <w:color w:val="262626"/>
          <w:szCs w:val="24"/>
        </w:rPr>
        <w:t>Sobre la composición de los asuntos ingresados a la Sala según su cuantía, se distinguen varios rangos donde se clasifican los procesos, siendo la de mayor proporción la cuantía inestimable, la cual ocupa el 74,1% del total de asuntos ingresados.</w:t>
      </w:r>
    </w:p>
    <w:p w14:paraId="0F40832D" w14:textId="77777777" w:rsidR="00E979A0" w:rsidRDefault="00E979A0" w:rsidP="00D561C9">
      <w:pPr>
        <w:spacing w:line="276" w:lineRule="auto"/>
        <w:rPr>
          <w:rFonts w:ascii="Cambria" w:hAnsi="Cambria"/>
          <w:color w:val="262626"/>
          <w:szCs w:val="24"/>
        </w:rPr>
      </w:pPr>
    </w:p>
    <w:p w14:paraId="19207F7B" w14:textId="203FAD00" w:rsidR="00D561C9" w:rsidRDefault="00D561C9" w:rsidP="00D561C9">
      <w:pPr>
        <w:spacing w:line="276" w:lineRule="auto"/>
        <w:rPr>
          <w:rFonts w:ascii="Cambria" w:hAnsi="Cambria"/>
          <w:color w:val="262626"/>
          <w:szCs w:val="24"/>
        </w:rPr>
      </w:pPr>
    </w:p>
    <w:p w14:paraId="2A082AAD" w14:textId="2742876B" w:rsidR="00D561C9" w:rsidRPr="00D561C9" w:rsidRDefault="00D561C9" w:rsidP="00D561C9">
      <w:pPr>
        <w:spacing w:line="276" w:lineRule="auto"/>
        <w:rPr>
          <w:rFonts w:ascii="Cambria" w:hAnsi="Cambria"/>
          <w:color w:val="262626"/>
        </w:rPr>
      </w:pPr>
      <w:r w:rsidRPr="00D561C9">
        <w:rPr>
          <w:rFonts w:ascii="Cambria" w:hAnsi="Cambria"/>
          <w:color w:val="262626"/>
        </w:rPr>
        <w:t>El gráfico a continuación visualiza de mejor manera la información de este rubro:</w:t>
      </w:r>
    </w:p>
    <w:p w14:paraId="10726804" w14:textId="64701AF3" w:rsidR="00D561C9" w:rsidRPr="00AF18A0" w:rsidRDefault="00D561C9" w:rsidP="00D561C9">
      <w:pPr>
        <w:spacing w:line="276" w:lineRule="auto"/>
        <w:rPr>
          <w:rFonts w:ascii="Cambria" w:hAnsi="Cambria"/>
          <w:color w:val="262626"/>
          <w:szCs w:val="24"/>
        </w:rPr>
      </w:pPr>
    </w:p>
    <w:p w14:paraId="13437A52" w14:textId="7002C026" w:rsidR="00D561C9" w:rsidRDefault="00D561C9" w:rsidP="00D561C9">
      <w:pPr>
        <w:spacing w:line="276" w:lineRule="auto"/>
        <w:rPr>
          <w:rFonts w:ascii="Cambria" w:hAnsi="Cambria"/>
          <w:color w:val="262626" w:themeColor="text1" w:themeTint="D9"/>
        </w:rPr>
      </w:pPr>
      <w:r>
        <w:rPr>
          <w:noProof/>
        </w:rPr>
        <w:drawing>
          <wp:inline distT="0" distB="0" distL="0" distR="0" wp14:anchorId="79558729" wp14:editId="3333121F">
            <wp:extent cx="2774830" cy="1664898"/>
            <wp:effectExtent l="0" t="0" r="6985" b="0"/>
            <wp:docPr id="26" name="Imagen 26"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nterfaz de usuario gráfica&#10;&#10;Descripción generada automáticamente con confianza med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8361" cy="1667017"/>
                    </a:xfrm>
                    <a:prstGeom prst="rect">
                      <a:avLst/>
                    </a:prstGeom>
                    <a:noFill/>
                    <a:ln>
                      <a:noFill/>
                    </a:ln>
                  </pic:spPr>
                </pic:pic>
              </a:graphicData>
            </a:graphic>
          </wp:inline>
        </w:drawing>
      </w:r>
    </w:p>
    <w:p w14:paraId="6CC4AA72" w14:textId="19E72ACB" w:rsidR="000D13FA" w:rsidRPr="000D13FA" w:rsidRDefault="000D13FA" w:rsidP="000D13FA">
      <w:pPr>
        <w:spacing w:line="276" w:lineRule="auto"/>
        <w:rPr>
          <w:rFonts w:ascii="Cambria" w:hAnsi="Cambria"/>
          <w:color w:val="262626" w:themeColor="text1" w:themeTint="D9"/>
        </w:rPr>
      </w:pPr>
    </w:p>
    <w:p w14:paraId="70BDD34A" w14:textId="0199E5EE" w:rsidR="00561B49" w:rsidRDefault="001F6D7C" w:rsidP="00561B49">
      <w:pPr>
        <w:spacing w:line="276" w:lineRule="auto"/>
        <w:rPr>
          <w:rFonts w:ascii="Cambria" w:hAnsi="Cambria"/>
          <w:color w:val="262626" w:themeColor="text1" w:themeTint="D9"/>
        </w:rPr>
      </w:pPr>
      <w:r w:rsidRPr="00110D55">
        <w:rPr>
          <w:rFonts w:ascii="Cambria" w:hAnsi="Cambria"/>
          <w:noProof/>
        </w:rPr>
        <w:drawing>
          <wp:anchor distT="0" distB="0" distL="114300" distR="114300" simplePos="0" relativeHeight="251669504" behindDoc="0" locked="0" layoutInCell="1" allowOverlap="1" wp14:anchorId="463FF437" wp14:editId="5FBE4BCA">
            <wp:simplePos x="0" y="0"/>
            <wp:positionH relativeFrom="column">
              <wp:align>left</wp:align>
            </wp:positionH>
            <wp:positionV relativeFrom="paragraph">
              <wp:posOffset>5080</wp:posOffset>
            </wp:positionV>
            <wp:extent cx="171450" cy="228600"/>
            <wp:effectExtent l="0" t="0" r="0" b="0"/>
            <wp:wrapSquare wrapText="bothSides"/>
            <wp:docPr id="45" name="Gráfico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71450" cy="228600"/>
                    </a:xfrm>
                    <a:prstGeom prst="rect">
                      <a:avLst/>
                    </a:prstGeom>
                  </pic:spPr>
                </pic:pic>
              </a:graphicData>
            </a:graphic>
          </wp:anchor>
        </w:drawing>
      </w:r>
      <w:r w:rsidR="00561B49" w:rsidRPr="00110D55">
        <w:rPr>
          <w:rFonts w:ascii="Cambria" w:hAnsi="Cambria" w:cs="Times New Roman"/>
          <w:b/>
          <w:bCs/>
          <w:color w:val="1E9BD7"/>
          <w:sz w:val="28"/>
          <w:szCs w:val="28"/>
        </w:rPr>
        <w:t>Productividad</w:t>
      </w:r>
    </w:p>
    <w:p w14:paraId="08169C94" w14:textId="77777777" w:rsidR="001F6D7C" w:rsidRDefault="001F6D7C" w:rsidP="00561B49">
      <w:pPr>
        <w:spacing w:line="276" w:lineRule="auto"/>
        <w:rPr>
          <w:rFonts w:ascii="Cambria" w:hAnsi="Cambria"/>
          <w:color w:val="262626" w:themeColor="text1" w:themeTint="D9"/>
        </w:rPr>
      </w:pPr>
    </w:p>
    <w:p w14:paraId="5489FEA7" w14:textId="1B1EEC95" w:rsidR="00AE0B8D" w:rsidRPr="00AF18A0" w:rsidRDefault="00AE0B8D" w:rsidP="00AE0B8D">
      <w:pPr>
        <w:spacing w:line="276" w:lineRule="auto"/>
        <w:rPr>
          <w:rFonts w:ascii="Cambria" w:hAnsi="Cambria"/>
          <w:color w:val="262626"/>
          <w:szCs w:val="24"/>
        </w:rPr>
      </w:pPr>
      <w:r w:rsidRPr="00AF18A0">
        <w:rPr>
          <w:rFonts w:ascii="Cambria" w:hAnsi="Cambria"/>
          <w:color w:val="262626"/>
          <w:szCs w:val="24"/>
        </w:rPr>
        <w:t>La manera de medir la productividad se refleja a través de la cantidad de asuntos terminados, la Sala Segunda en este rubro presentó un aumento con respecto del año 2020 de un 21.7% aproximadamente, sin embargo, esta situación no impacta en una disminución del circulante dado el comportamiento de las variables de entrada en este año.</w:t>
      </w:r>
    </w:p>
    <w:p w14:paraId="12314AEB" w14:textId="0C66BE37" w:rsidR="001F6D7C" w:rsidRDefault="001F6D7C" w:rsidP="00AE0B8D">
      <w:pPr>
        <w:spacing w:line="276" w:lineRule="auto"/>
        <w:rPr>
          <w:rFonts w:ascii="Cambria" w:hAnsi="Cambria"/>
          <w:color w:val="262626"/>
          <w:szCs w:val="24"/>
        </w:rPr>
      </w:pPr>
      <w:r>
        <w:rPr>
          <w:rFonts w:ascii="Cambria" w:hAnsi="Cambria"/>
          <w:noProof/>
          <w:color w:val="262626" w:themeColor="text1" w:themeTint="D9"/>
        </w:rPr>
        <w:drawing>
          <wp:anchor distT="0" distB="0" distL="114300" distR="114300" simplePos="0" relativeHeight="251679744" behindDoc="0" locked="0" layoutInCell="1" allowOverlap="1" wp14:anchorId="10AB23CE" wp14:editId="0718D58D">
            <wp:simplePos x="0" y="0"/>
            <wp:positionH relativeFrom="margin">
              <wp:align>right</wp:align>
            </wp:positionH>
            <wp:positionV relativeFrom="paragraph">
              <wp:posOffset>76200</wp:posOffset>
            </wp:positionV>
            <wp:extent cx="2747010" cy="1351280"/>
            <wp:effectExtent l="0" t="0" r="0" b="1270"/>
            <wp:wrapSquare wrapText="bothSides"/>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7010" cy="1351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FB3AAA" w14:textId="025E75A7" w:rsidR="00AE0B8D" w:rsidRDefault="00AE0B8D" w:rsidP="00AE0B8D">
      <w:pPr>
        <w:spacing w:line="276" w:lineRule="auto"/>
        <w:rPr>
          <w:rFonts w:ascii="Cambria" w:hAnsi="Cambria"/>
          <w:color w:val="262626"/>
          <w:szCs w:val="24"/>
        </w:rPr>
      </w:pPr>
      <w:r w:rsidRPr="00AF18A0">
        <w:rPr>
          <w:rFonts w:ascii="Cambria" w:hAnsi="Cambria"/>
          <w:color w:val="262626"/>
          <w:szCs w:val="24"/>
        </w:rPr>
        <w:t>La siguiente tabla refleja de forma comparativa las cifras referentes a los asuntos terminados de los años 2020 y 2021 y se desglosa por la materia.</w:t>
      </w:r>
    </w:p>
    <w:p w14:paraId="7CD43FA3" w14:textId="47A66AAC" w:rsidR="001F6D7C" w:rsidRDefault="001F6D7C" w:rsidP="00AE0B8D">
      <w:pPr>
        <w:spacing w:line="276" w:lineRule="auto"/>
        <w:rPr>
          <w:rFonts w:ascii="Cambria" w:hAnsi="Cambria"/>
          <w:color w:val="262626"/>
          <w:szCs w:val="24"/>
        </w:rPr>
      </w:pPr>
    </w:p>
    <w:p w14:paraId="51E94F44" w14:textId="03BA1E14" w:rsidR="0078442C" w:rsidRDefault="0010694D" w:rsidP="00561B49">
      <w:pPr>
        <w:spacing w:line="276" w:lineRule="auto"/>
        <w:rPr>
          <w:rFonts w:ascii="Cambria" w:hAnsi="Cambria"/>
          <w:color w:val="262626" w:themeColor="text1" w:themeTint="D9"/>
        </w:rPr>
      </w:pPr>
      <w:r w:rsidRPr="0010694D">
        <w:rPr>
          <w:noProof/>
        </w:rPr>
        <w:drawing>
          <wp:inline distT="0" distB="0" distL="0" distR="0" wp14:anchorId="210D5D19" wp14:editId="48CAE7A5">
            <wp:extent cx="2747010" cy="1431925"/>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7010" cy="1431925"/>
                    </a:xfrm>
                    <a:prstGeom prst="rect">
                      <a:avLst/>
                    </a:prstGeom>
                    <a:noFill/>
                    <a:ln>
                      <a:noFill/>
                    </a:ln>
                  </pic:spPr>
                </pic:pic>
              </a:graphicData>
            </a:graphic>
          </wp:inline>
        </w:drawing>
      </w:r>
    </w:p>
    <w:p w14:paraId="1F6B7D0C" w14:textId="7BC3B55D" w:rsidR="001F6D7C" w:rsidRDefault="001F6D7C" w:rsidP="00561B49">
      <w:pPr>
        <w:spacing w:line="276" w:lineRule="auto"/>
        <w:rPr>
          <w:rFonts w:ascii="Cambria" w:hAnsi="Cambria"/>
          <w:color w:val="262626"/>
          <w:szCs w:val="24"/>
        </w:rPr>
      </w:pPr>
    </w:p>
    <w:p w14:paraId="0BDDBE7B" w14:textId="5E73285B" w:rsidR="004251AB" w:rsidRDefault="00AE0B8D" w:rsidP="00561B49">
      <w:pPr>
        <w:spacing w:line="276" w:lineRule="auto"/>
        <w:rPr>
          <w:rFonts w:ascii="Cambria" w:hAnsi="Cambria"/>
          <w:color w:val="262626"/>
          <w:szCs w:val="24"/>
        </w:rPr>
      </w:pPr>
      <w:r w:rsidRPr="00AF18A0">
        <w:rPr>
          <w:rFonts w:ascii="Cambria" w:hAnsi="Cambria"/>
          <w:color w:val="262626"/>
          <w:szCs w:val="24"/>
        </w:rPr>
        <w:t>Seguidamente se muestran los asuntos terminados según sean votos de fondo y aquellos que no son de fondo.</w:t>
      </w:r>
    </w:p>
    <w:p w14:paraId="16B7F734" w14:textId="198FD3A8" w:rsidR="004251AB" w:rsidRPr="004251AB" w:rsidRDefault="004251AB" w:rsidP="00561B49">
      <w:pPr>
        <w:spacing w:line="276" w:lineRule="auto"/>
        <w:rPr>
          <w:rFonts w:ascii="Cambria" w:hAnsi="Cambria"/>
          <w:color w:val="262626"/>
          <w:szCs w:val="24"/>
        </w:rPr>
      </w:pPr>
    </w:p>
    <w:p w14:paraId="01CD2A0D" w14:textId="51E4871A" w:rsidR="004251AB" w:rsidRPr="00D445E4" w:rsidRDefault="004251AB" w:rsidP="00561B49">
      <w:pPr>
        <w:spacing w:line="276" w:lineRule="auto"/>
        <w:rPr>
          <w:rFonts w:ascii="Cambria" w:hAnsi="Cambria"/>
          <w:color w:val="262626" w:themeColor="text1" w:themeTint="D9"/>
        </w:rPr>
      </w:pPr>
      <w:r>
        <w:rPr>
          <w:noProof/>
        </w:rPr>
        <w:drawing>
          <wp:inline distT="0" distB="0" distL="0" distR="0" wp14:anchorId="36D2E953" wp14:editId="26F98397">
            <wp:extent cx="2743200" cy="1860550"/>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43200" cy="1860550"/>
                    </a:xfrm>
                    <a:prstGeom prst="rect">
                      <a:avLst/>
                    </a:prstGeom>
                    <a:noFill/>
                    <a:ln>
                      <a:noFill/>
                    </a:ln>
                  </pic:spPr>
                </pic:pic>
              </a:graphicData>
            </a:graphic>
          </wp:inline>
        </w:drawing>
      </w:r>
    </w:p>
    <w:p w14:paraId="5FA8AF09" w14:textId="77777777" w:rsidR="001F6D7C" w:rsidRDefault="001F6D7C" w:rsidP="004251AB">
      <w:pPr>
        <w:spacing w:line="276" w:lineRule="auto"/>
        <w:rPr>
          <w:rFonts w:ascii="Cambria" w:hAnsi="Cambria"/>
          <w:color w:val="262626"/>
        </w:rPr>
      </w:pPr>
    </w:p>
    <w:p w14:paraId="52B1CD0C" w14:textId="79A8E6BC" w:rsidR="004251AB" w:rsidRPr="00AF18A0" w:rsidRDefault="004251AB" w:rsidP="004251AB">
      <w:pPr>
        <w:spacing w:line="276" w:lineRule="auto"/>
        <w:rPr>
          <w:rFonts w:ascii="Cambria" w:hAnsi="Cambria"/>
          <w:color w:val="262626"/>
        </w:rPr>
      </w:pPr>
      <w:r w:rsidRPr="00AF18A0">
        <w:rPr>
          <w:rFonts w:ascii="Cambria" w:hAnsi="Cambria"/>
          <w:color w:val="262626"/>
        </w:rPr>
        <w:t>Nótese el incremento en los asuntos con votos de fondo donde hubo un aumento considerable del 36,4%, mientras que los asunto en los que hubo votos no de fondo decreció en un 16.5%.</w:t>
      </w:r>
    </w:p>
    <w:p w14:paraId="0A142FD6" w14:textId="47EB4FDD" w:rsidR="004251AB" w:rsidRPr="00AF18A0" w:rsidRDefault="004251AB" w:rsidP="004251AB">
      <w:pPr>
        <w:spacing w:line="276" w:lineRule="auto"/>
        <w:rPr>
          <w:rFonts w:ascii="Cambria" w:hAnsi="Cambria"/>
          <w:color w:val="262626"/>
        </w:rPr>
      </w:pPr>
      <w:r w:rsidRPr="00AF18A0">
        <w:rPr>
          <w:rFonts w:ascii="Cambria" w:hAnsi="Cambria"/>
          <w:color w:val="262626"/>
        </w:rPr>
        <w:t>Por su parte, la distribución según el procedimiento de los asuntos terminados se detalla a continuación</w:t>
      </w:r>
      <w:r>
        <w:rPr>
          <w:rFonts w:ascii="Cambria" w:hAnsi="Cambria"/>
          <w:color w:val="262626"/>
        </w:rPr>
        <w:t>:</w:t>
      </w:r>
    </w:p>
    <w:p w14:paraId="647D8820" w14:textId="3A2F2A84" w:rsidR="00561B49" w:rsidRDefault="00561B49" w:rsidP="00561B49">
      <w:pPr>
        <w:spacing w:line="276" w:lineRule="auto"/>
        <w:rPr>
          <w:rFonts w:ascii="Cambria" w:hAnsi="Cambria"/>
          <w:color w:val="262626" w:themeColor="text1" w:themeTint="D9"/>
        </w:rPr>
      </w:pPr>
    </w:p>
    <w:p w14:paraId="33B2C0AE" w14:textId="1394E895" w:rsidR="004251AB" w:rsidRDefault="004251AB" w:rsidP="004251AB">
      <w:pPr>
        <w:spacing w:line="276" w:lineRule="auto"/>
        <w:rPr>
          <w:rFonts w:ascii="Cambria" w:hAnsi="Cambria"/>
          <w:color w:val="262626"/>
        </w:rPr>
      </w:pPr>
      <w:r w:rsidRPr="00AF18A0">
        <w:rPr>
          <w:rFonts w:ascii="Cambria" w:hAnsi="Cambria"/>
          <w:color w:val="262626"/>
        </w:rPr>
        <w:t>En este cuadro sobresale de manera visible que la mayoría de los asuntos corresponden a lo que es Casación que representa el 93.7% (de fondo y no de fondo) del total de los asuntos terminados, situación que también se repitió en el año 2020.</w:t>
      </w:r>
    </w:p>
    <w:p w14:paraId="1C47F108" w14:textId="5DAD7E4E" w:rsidR="00561B49" w:rsidRDefault="00561B49" w:rsidP="00561B49">
      <w:pPr>
        <w:spacing w:line="276" w:lineRule="auto"/>
        <w:rPr>
          <w:rFonts w:ascii="Cambria" w:hAnsi="Cambria"/>
          <w:color w:val="262626" w:themeColor="text1" w:themeTint="D9"/>
        </w:rPr>
      </w:pPr>
    </w:p>
    <w:p w14:paraId="235B7E3F" w14:textId="0886C336" w:rsidR="00561B49" w:rsidRDefault="00561B49" w:rsidP="00D445E4">
      <w:pPr>
        <w:pStyle w:val="Ttulo1"/>
        <w:rPr>
          <w:rFonts w:ascii="Times New Roman" w:hAnsi="Times New Roman" w:cs="Times New Roman"/>
          <w:b/>
          <w:bCs/>
          <w:color w:val="1E9BD7"/>
          <w:sz w:val="28"/>
          <w:szCs w:val="28"/>
        </w:rPr>
      </w:pPr>
      <w:bookmarkStart w:id="5" w:name="_Toc114130273"/>
      <w:r>
        <w:rPr>
          <w:noProof/>
        </w:rPr>
        <w:drawing>
          <wp:anchor distT="0" distB="0" distL="114300" distR="114300" simplePos="0" relativeHeight="251667456" behindDoc="1" locked="0" layoutInCell="1" allowOverlap="1" wp14:anchorId="7C2EE755" wp14:editId="0297234E">
            <wp:simplePos x="0" y="0"/>
            <wp:positionH relativeFrom="column">
              <wp:align>left</wp:align>
            </wp:positionH>
            <wp:positionV relativeFrom="paragraph">
              <wp:posOffset>82905</wp:posOffset>
            </wp:positionV>
            <wp:extent cx="247650" cy="247650"/>
            <wp:effectExtent l="0" t="0" r="0" b="0"/>
            <wp:wrapThrough wrapText="bothSides">
              <wp:wrapPolygon edited="0">
                <wp:start x="13292" y="0"/>
                <wp:lineTo x="0" y="4985"/>
                <wp:lineTo x="0" y="14954"/>
                <wp:lineTo x="3323" y="19938"/>
                <wp:lineTo x="16615" y="19938"/>
                <wp:lineTo x="19938" y="14954"/>
                <wp:lineTo x="19938" y="0"/>
                <wp:lineTo x="13292" y="0"/>
              </wp:wrapPolygon>
            </wp:wrapThrough>
            <wp:docPr id="43" name="Gráfico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47650" cy="247650"/>
                    </a:xfrm>
                    <a:prstGeom prst="rect">
                      <a:avLst/>
                    </a:prstGeom>
                  </pic:spPr>
                </pic:pic>
              </a:graphicData>
            </a:graphic>
          </wp:anchor>
        </w:drawing>
      </w:r>
      <w:r w:rsidRPr="00143A19">
        <w:rPr>
          <w:rFonts w:ascii="Times New Roman" w:hAnsi="Times New Roman" w:cs="Times New Roman"/>
          <w:b/>
          <w:bCs/>
          <w:color w:val="1E9BD7"/>
          <w:sz w:val="28"/>
          <w:szCs w:val="28"/>
        </w:rPr>
        <w:t xml:space="preserve">Carga de </w:t>
      </w:r>
      <w:r>
        <w:rPr>
          <w:rFonts w:ascii="Times New Roman" w:hAnsi="Times New Roman" w:cs="Times New Roman"/>
          <w:b/>
          <w:bCs/>
          <w:color w:val="1E9BD7"/>
          <w:sz w:val="28"/>
          <w:szCs w:val="28"/>
        </w:rPr>
        <w:t>T</w:t>
      </w:r>
      <w:r w:rsidRPr="00143A19">
        <w:rPr>
          <w:rFonts w:ascii="Times New Roman" w:hAnsi="Times New Roman" w:cs="Times New Roman"/>
          <w:b/>
          <w:bCs/>
          <w:color w:val="1E9BD7"/>
          <w:sz w:val="28"/>
          <w:szCs w:val="28"/>
        </w:rPr>
        <w:t>rabajo</w:t>
      </w:r>
      <w:bookmarkEnd w:id="5"/>
      <w:r w:rsidRPr="00143A19">
        <w:rPr>
          <w:rFonts w:ascii="Times New Roman" w:hAnsi="Times New Roman" w:cs="Times New Roman"/>
          <w:b/>
          <w:bCs/>
          <w:color w:val="1E9BD7"/>
          <w:sz w:val="28"/>
          <w:szCs w:val="28"/>
        </w:rPr>
        <w:t xml:space="preserve"> </w:t>
      </w:r>
    </w:p>
    <w:p w14:paraId="74E8EE18" w14:textId="28C268EB" w:rsidR="004251AB" w:rsidRDefault="004251AB" w:rsidP="004251AB">
      <w:pPr>
        <w:spacing w:line="276" w:lineRule="auto"/>
        <w:rPr>
          <w:rFonts w:ascii="Cambria" w:hAnsi="Cambria"/>
          <w:color w:val="262626" w:themeColor="text1" w:themeTint="D9"/>
        </w:rPr>
      </w:pPr>
      <w:r w:rsidRPr="004251AB">
        <w:rPr>
          <w:rFonts w:ascii="Cambria" w:hAnsi="Cambria"/>
          <w:color w:val="262626" w:themeColor="text1" w:themeTint="D9"/>
        </w:rPr>
        <w:t>Para determinar la carga de trabajo se debe agregar al circulante inicial de cada año los casos entrados y los reentrados, asimismo, se debe restar la cantidad de asuntos terminados, cuyo resultado es el circulante al final del año.</w:t>
      </w:r>
    </w:p>
    <w:p w14:paraId="453FD5EA" w14:textId="77777777" w:rsidR="001F6D7C" w:rsidRPr="004251AB" w:rsidRDefault="001F6D7C" w:rsidP="004251AB">
      <w:pPr>
        <w:spacing w:line="276" w:lineRule="auto"/>
        <w:rPr>
          <w:rFonts w:ascii="Cambria" w:hAnsi="Cambria"/>
          <w:color w:val="262626" w:themeColor="text1" w:themeTint="D9"/>
        </w:rPr>
      </w:pPr>
    </w:p>
    <w:p w14:paraId="2702FDD7" w14:textId="471FD0F4" w:rsidR="004251AB" w:rsidRPr="00AF18A0" w:rsidRDefault="001F6D7C" w:rsidP="004251AB">
      <w:pPr>
        <w:rPr>
          <w:rFonts w:ascii="Cambria" w:hAnsi="Cambria"/>
          <w:color w:val="262626"/>
        </w:rPr>
      </w:pPr>
      <w:r>
        <w:rPr>
          <w:noProof/>
        </w:rPr>
        <w:drawing>
          <wp:anchor distT="0" distB="0" distL="114300" distR="114300" simplePos="0" relativeHeight="251678720" behindDoc="0" locked="0" layoutInCell="1" allowOverlap="1" wp14:anchorId="34A9293A" wp14:editId="2A9FF8AF">
            <wp:simplePos x="0" y="0"/>
            <wp:positionH relativeFrom="margin">
              <wp:align>right</wp:align>
            </wp:positionH>
            <wp:positionV relativeFrom="margin">
              <wp:posOffset>6917261</wp:posOffset>
            </wp:positionV>
            <wp:extent cx="2747010" cy="1275715"/>
            <wp:effectExtent l="0" t="0" r="0" b="0"/>
            <wp:wrapSquare wrapText="bothSides"/>
            <wp:docPr id="33" name="Imagen 33"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2" descr="Gráfico, Gráfico de líneas&#10;&#10;Descripción generada automáticament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47010" cy="1275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51AB" w:rsidRPr="00AF18A0">
        <w:rPr>
          <w:rFonts w:ascii="Cambria" w:hAnsi="Cambria"/>
          <w:color w:val="262626"/>
        </w:rPr>
        <w:t>El siguiente gráfico detalla el circulante de los años 2016 al 2021.</w:t>
      </w:r>
    </w:p>
    <w:p w14:paraId="44B47741" w14:textId="4F91C0B4" w:rsidR="004251AB" w:rsidRDefault="004251AB" w:rsidP="004251AB">
      <w:pPr>
        <w:spacing w:line="276" w:lineRule="auto"/>
        <w:rPr>
          <w:rFonts w:ascii="Cambria" w:hAnsi="Cambria"/>
          <w:color w:val="262626" w:themeColor="text1" w:themeTint="D9"/>
          <w:szCs w:val="24"/>
        </w:rPr>
      </w:pPr>
      <w:r w:rsidRPr="004251AB">
        <w:rPr>
          <w:rFonts w:ascii="Cambria" w:hAnsi="Cambria"/>
          <w:color w:val="262626" w:themeColor="text1" w:themeTint="D9"/>
          <w:szCs w:val="24"/>
        </w:rPr>
        <w:t>Claramente puede observarse como se ha ido incrementando el circulante año con año mostrando una variación hacia el alza desde el año 2017, situación que como se ha comentado, es producto de la entrada en vigor de la Reforma Procesal Laboral.</w:t>
      </w:r>
    </w:p>
    <w:p w14:paraId="259A8A3D" w14:textId="77777777" w:rsidR="000C0AED" w:rsidRPr="004251AB" w:rsidRDefault="000C0AED" w:rsidP="004251AB">
      <w:pPr>
        <w:spacing w:line="276" w:lineRule="auto"/>
        <w:rPr>
          <w:rFonts w:ascii="Cambria" w:hAnsi="Cambria"/>
          <w:color w:val="262626" w:themeColor="text1" w:themeTint="D9"/>
          <w:szCs w:val="24"/>
        </w:rPr>
      </w:pPr>
    </w:p>
    <w:p w14:paraId="44439290" w14:textId="34B61FA0" w:rsidR="004251AB" w:rsidRDefault="004251AB" w:rsidP="004251AB">
      <w:pPr>
        <w:spacing w:line="276" w:lineRule="auto"/>
        <w:rPr>
          <w:rFonts w:ascii="Cambria" w:hAnsi="Cambria"/>
          <w:color w:val="262626" w:themeColor="text1" w:themeTint="D9"/>
          <w:szCs w:val="24"/>
        </w:rPr>
      </w:pPr>
      <w:r w:rsidRPr="004251AB">
        <w:rPr>
          <w:rFonts w:ascii="Cambria" w:hAnsi="Cambria"/>
          <w:color w:val="262626" w:themeColor="text1" w:themeTint="D9"/>
          <w:szCs w:val="24"/>
        </w:rPr>
        <w:t xml:space="preserve">Debe tomarse en consideración que el circulante final (5 180), incluye aquellos expedientes que se encuentran suspendidos, que en total son 152 asuntos, por lo cual, el circulante final en trámite es de 5 028 expedientes. </w:t>
      </w:r>
    </w:p>
    <w:p w14:paraId="49E81251" w14:textId="77777777" w:rsidR="000C0AED" w:rsidRPr="004251AB" w:rsidRDefault="000C0AED" w:rsidP="004251AB">
      <w:pPr>
        <w:spacing w:line="276" w:lineRule="auto"/>
        <w:rPr>
          <w:rFonts w:ascii="Cambria" w:hAnsi="Cambria"/>
          <w:color w:val="262626" w:themeColor="text1" w:themeTint="D9"/>
          <w:szCs w:val="24"/>
        </w:rPr>
      </w:pPr>
    </w:p>
    <w:p w14:paraId="5B6501A2" w14:textId="5F3B9CFE" w:rsidR="004251AB" w:rsidRDefault="004251AB" w:rsidP="004251AB">
      <w:pPr>
        <w:spacing w:line="276" w:lineRule="auto"/>
        <w:rPr>
          <w:rFonts w:ascii="Cambria" w:hAnsi="Cambria"/>
          <w:color w:val="262626" w:themeColor="text1" w:themeTint="D9"/>
          <w:szCs w:val="24"/>
        </w:rPr>
      </w:pPr>
      <w:r w:rsidRPr="004251AB">
        <w:rPr>
          <w:rFonts w:ascii="Cambria" w:hAnsi="Cambria"/>
          <w:color w:val="262626" w:themeColor="text1" w:themeTint="D9"/>
          <w:szCs w:val="24"/>
        </w:rPr>
        <w:t>En relación con la distribución del circulante por clase de asunto, nótese el detalle de su composición en el siguiente recuadro.</w:t>
      </w:r>
    </w:p>
    <w:p w14:paraId="0D0292E5" w14:textId="44B0AB95" w:rsidR="004251AB" w:rsidRPr="004251AB" w:rsidRDefault="004251AB" w:rsidP="004251AB">
      <w:pPr>
        <w:spacing w:line="276" w:lineRule="auto"/>
        <w:rPr>
          <w:rFonts w:ascii="Cambria" w:hAnsi="Cambria"/>
          <w:color w:val="262626" w:themeColor="text1" w:themeTint="D9"/>
          <w:szCs w:val="24"/>
        </w:rPr>
      </w:pPr>
      <w:r>
        <w:rPr>
          <w:noProof/>
        </w:rPr>
        <w:drawing>
          <wp:inline distT="0" distB="0" distL="0" distR="0" wp14:anchorId="36CA0DC5" wp14:editId="4CBBDA9A">
            <wp:extent cx="2747010" cy="2551430"/>
            <wp:effectExtent l="0" t="0" r="0" b="127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47010" cy="2551430"/>
                    </a:xfrm>
                    <a:prstGeom prst="rect">
                      <a:avLst/>
                    </a:prstGeom>
                    <a:noFill/>
                    <a:ln>
                      <a:noFill/>
                    </a:ln>
                  </pic:spPr>
                </pic:pic>
              </a:graphicData>
            </a:graphic>
          </wp:inline>
        </w:drawing>
      </w:r>
    </w:p>
    <w:p w14:paraId="5C7E47B5" w14:textId="77777777" w:rsidR="000C0AED" w:rsidRDefault="000C0AED" w:rsidP="004251AB">
      <w:pPr>
        <w:spacing w:line="276" w:lineRule="auto"/>
        <w:rPr>
          <w:rFonts w:ascii="Cambria" w:hAnsi="Cambria"/>
          <w:color w:val="262626"/>
          <w:szCs w:val="24"/>
        </w:rPr>
      </w:pPr>
    </w:p>
    <w:p w14:paraId="75E7C896" w14:textId="71476F1B" w:rsidR="004251AB" w:rsidRDefault="004251AB" w:rsidP="004251AB">
      <w:pPr>
        <w:spacing w:line="276" w:lineRule="auto"/>
        <w:rPr>
          <w:rFonts w:ascii="Cambria" w:hAnsi="Cambria"/>
          <w:color w:val="262626"/>
          <w:szCs w:val="24"/>
        </w:rPr>
      </w:pPr>
      <w:r w:rsidRPr="00AF18A0">
        <w:rPr>
          <w:rFonts w:ascii="Cambria" w:hAnsi="Cambria"/>
          <w:color w:val="262626"/>
          <w:szCs w:val="24"/>
        </w:rPr>
        <w:t>Como se observa, todavía hay asuntos muy antiguos tramitándose en la Sala, sin embargo, la mayoría de los casos datan del año 2018 al 2021.</w:t>
      </w:r>
    </w:p>
    <w:p w14:paraId="2E8BD0F6" w14:textId="77777777" w:rsidR="004251AB" w:rsidRPr="004251AB" w:rsidRDefault="004251AB" w:rsidP="004251AB">
      <w:pPr>
        <w:spacing w:line="276" w:lineRule="auto"/>
        <w:rPr>
          <w:rFonts w:ascii="Cambria" w:hAnsi="Cambria"/>
          <w:color w:val="262626"/>
          <w:szCs w:val="24"/>
        </w:rPr>
      </w:pPr>
    </w:p>
    <w:p w14:paraId="0A7D3FB3" w14:textId="51793B53" w:rsidR="00561B49" w:rsidRPr="003537A8" w:rsidRDefault="001F6D7C" w:rsidP="00561B49">
      <w:pPr>
        <w:pStyle w:val="Ttulo1"/>
        <w:rPr>
          <w:rFonts w:ascii="Cambria" w:hAnsi="Cambria" w:cs="Times New Roman"/>
          <w:b/>
          <w:bCs/>
          <w:color w:val="1E9BD7"/>
          <w:sz w:val="28"/>
          <w:szCs w:val="28"/>
        </w:rPr>
      </w:pPr>
      <w:bookmarkStart w:id="6" w:name="_Toc114130274"/>
      <w:r w:rsidRPr="003537A8">
        <w:rPr>
          <w:rFonts w:ascii="Cambria" w:hAnsi="Cambria"/>
          <w:noProof/>
          <w:sz w:val="28"/>
          <w:szCs w:val="28"/>
        </w:rPr>
        <w:drawing>
          <wp:anchor distT="0" distB="0" distL="114300" distR="114300" simplePos="0" relativeHeight="251671552" behindDoc="0" locked="0" layoutInCell="1" allowOverlap="1" wp14:anchorId="3FC5ED89" wp14:editId="3CB5E296">
            <wp:simplePos x="0" y="0"/>
            <wp:positionH relativeFrom="column">
              <wp:align>left</wp:align>
            </wp:positionH>
            <wp:positionV relativeFrom="paragraph">
              <wp:posOffset>5360</wp:posOffset>
            </wp:positionV>
            <wp:extent cx="209550" cy="209550"/>
            <wp:effectExtent l="0" t="0" r="0" b="0"/>
            <wp:wrapSquare wrapText="bothSides"/>
            <wp:docPr id="47" name="Gráfico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209550" cy="209550"/>
                    </a:xfrm>
                    <a:prstGeom prst="rect">
                      <a:avLst/>
                    </a:prstGeom>
                  </pic:spPr>
                </pic:pic>
              </a:graphicData>
            </a:graphic>
            <wp14:sizeRelV relativeFrom="margin">
              <wp14:pctHeight>0</wp14:pctHeight>
            </wp14:sizeRelV>
          </wp:anchor>
        </w:drawing>
      </w:r>
      <w:r w:rsidR="00561B49" w:rsidRPr="003537A8">
        <w:rPr>
          <w:rFonts w:ascii="Cambria" w:hAnsi="Cambria" w:cs="Times New Roman"/>
          <w:b/>
          <w:bCs/>
          <w:color w:val="1E9BD7"/>
          <w:sz w:val="28"/>
          <w:szCs w:val="28"/>
        </w:rPr>
        <w:t>Duración</w:t>
      </w:r>
      <w:r w:rsidR="00561B49">
        <w:rPr>
          <w:rFonts w:ascii="Cambria" w:hAnsi="Cambria" w:cs="Times New Roman"/>
          <w:b/>
          <w:bCs/>
          <w:color w:val="1E9BD7"/>
          <w:sz w:val="28"/>
          <w:szCs w:val="28"/>
        </w:rPr>
        <w:t xml:space="preserve"> Promedio</w:t>
      </w:r>
      <w:bookmarkEnd w:id="6"/>
      <w:r w:rsidR="00561B49" w:rsidRPr="003537A8">
        <w:rPr>
          <w:rFonts w:ascii="Cambria" w:hAnsi="Cambria" w:cs="Times New Roman"/>
          <w:b/>
          <w:bCs/>
          <w:color w:val="1E9BD7"/>
          <w:sz w:val="28"/>
          <w:szCs w:val="28"/>
        </w:rPr>
        <w:t xml:space="preserve"> </w:t>
      </w:r>
    </w:p>
    <w:p w14:paraId="5B8BB6A1" w14:textId="464F2DB2" w:rsidR="004251AB" w:rsidRDefault="004251AB" w:rsidP="00561B49">
      <w:pPr>
        <w:spacing w:line="276" w:lineRule="auto"/>
        <w:rPr>
          <w:rFonts w:ascii="Cambria" w:hAnsi="Cambria"/>
          <w:color w:val="262626" w:themeColor="text1" w:themeTint="D9"/>
        </w:rPr>
      </w:pPr>
      <w:r w:rsidRPr="004251AB">
        <w:rPr>
          <w:rFonts w:ascii="Cambria" w:hAnsi="Cambria"/>
          <w:color w:val="262626" w:themeColor="text1" w:themeTint="D9"/>
        </w:rPr>
        <w:t>La duración promedio en la resolución de los casos en Sala Segunda se desglosan de la siguiente manera:</w:t>
      </w:r>
    </w:p>
    <w:p w14:paraId="6698D131" w14:textId="77777777" w:rsidR="004251AB" w:rsidRDefault="004251AB" w:rsidP="00561B49">
      <w:pPr>
        <w:spacing w:line="276" w:lineRule="auto"/>
        <w:rPr>
          <w:rFonts w:ascii="Cambria" w:hAnsi="Cambria"/>
          <w:color w:val="262626" w:themeColor="text1" w:themeTint="D9"/>
        </w:rPr>
      </w:pPr>
    </w:p>
    <w:p w14:paraId="2E2F93C0" w14:textId="5D4A56B5" w:rsidR="00555F73" w:rsidRDefault="004251AB" w:rsidP="00555F73">
      <w:pPr>
        <w:spacing w:line="276" w:lineRule="auto"/>
        <w:rPr>
          <w:rFonts w:ascii="Cambria" w:hAnsi="Cambria"/>
          <w:color w:val="262626" w:themeColor="text1" w:themeTint="D9"/>
        </w:rPr>
      </w:pPr>
      <w:r w:rsidRPr="00AF18A0">
        <w:rPr>
          <w:rFonts w:ascii="Cambria" w:hAnsi="Cambria"/>
          <w:noProof/>
          <w:szCs w:val="24"/>
        </w:rPr>
        <w:drawing>
          <wp:inline distT="0" distB="0" distL="0" distR="0" wp14:anchorId="1426C8AA" wp14:editId="368D53DB">
            <wp:extent cx="2747010" cy="961390"/>
            <wp:effectExtent l="0" t="0" r="0" b="0"/>
            <wp:docPr id="50" name="Imagen 5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Tabla&#10;&#10;Descripción generada automáticament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7010" cy="961390"/>
                    </a:xfrm>
                    <a:prstGeom prst="rect">
                      <a:avLst/>
                    </a:prstGeom>
                    <a:noFill/>
                    <a:ln>
                      <a:noFill/>
                    </a:ln>
                  </pic:spPr>
                </pic:pic>
              </a:graphicData>
            </a:graphic>
          </wp:inline>
        </w:drawing>
      </w:r>
    </w:p>
    <w:p w14:paraId="280D6B77" w14:textId="77777777" w:rsidR="004251AB" w:rsidRDefault="004251AB" w:rsidP="00555F73">
      <w:pPr>
        <w:spacing w:line="276" w:lineRule="auto"/>
        <w:rPr>
          <w:rFonts w:ascii="Cambria" w:hAnsi="Cambria"/>
          <w:color w:val="262626"/>
        </w:rPr>
      </w:pPr>
    </w:p>
    <w:p w14:paraId="44049A08" w14:textId="28CB651D" w:rsidR="003D5E4E" w:rsidRPr="003D5E4E" w:rsidRDefault="004251AB" w:rsidP="00740999">
      <w:pPr>
        <w:spacing w:line="276" w:lineRule="auto"/>
        <w:rPr>
          <w:rFonts w:ascii="Cambria" w:hAnsi="Cambria"/>
          <w:color w:val="262626" w:themeColor="text1" w:themeTint="D9"/>
        </w:rPr>
      </w:pPr>
      <w:r w:rsidRPr="00AF18A0">
        <w:rPr>
          <w:rFonts w:ascii="Cambria" w:hAnsi="Cambria"/>
          <w:color w:val="262626"/>
        </w:rPr>
        <w:t xml:space="preserve">El tiempo promedio utilizado por la Sala para dar finiquito a los 2 166 expedientes </w:t>
      </w:r>
      <w:r w:rsidRPr="00882163">
        <w:rPr>
          <w:rFonts w:ascii="Cambria" w:hAnsi="Cambria"/>
          <w:color w:val="000000"/>
        </w:rPr>
        <w:t>de fondo</w:t>
      </w:r>
      <w:r w:rsidRPr="00995E37">
        <w:rPr>
          <w:rFonts w:ascii="Cambria" w:hAnsi="Cambria"/>
          <w:color w:val="FF0000"/>
        </w:rPr>
        <w:t xml:space="preserve"> </w:t>
      </w:r>
      <w:r w:rsidRPr="00AF18A0">
        <w:rPr>
          <w:rFonts w:ascii="Cambria" w:hAnsi="Cambria"/>
          <w:color w:val="262626"/>
        </w:rPr>
        <w:t>terminados en el año 2021 se calculó en 19 meses y una semana, es decir, el tiempo de resolución aumentó en dos meses en relación con lo que se duró</w:t>
      </w:r>
      <w:r w:rsidR="00740999">
        <w:rPr>
          <w:rFonts w:ascii="Cambria" w:hAnsi="Cambria"/>
          <w:color w:val="262626" w:themeColor="text1" w:themeTint="D9"/>
        </w:rPr>
        <w:t xml:space="preserve"> </w:t>
      </w:r>
      <w:r w:rsidR="003D5E4E" w:rsidRPr="003D5E4E">
        <w:rPr>
          <w:rFonts w:ascii="Cambria" w:hAnsi="Cambria"/>
          <w:color w:val="262626" w:themeColor="text1" w:themeTint="D9"/>
        </w:rPr>
        <w:t>el año 2020, no obstante, la cantidad de expedientes que se dieron por terminados en ese año fue de un 36.4% menos aproximadamente (578 expedientes).</w:t>
      </w:r>
    </w:p>
    <w:p w14:paraId="09857180" w14:textId="77777777" w:rsidR="00740999" w:rsidRDefault="00740999" w:rsidP="003D5E4E">
      <w:pPr>
        <w:spacing w:after="0" w:line="276" w:lineRule="auto"/>
        <w:rPr>
          <w:rFonts w:ascii="Cambria" w:hAnsi="Cambria"/>
          <w:color w:val="262626" w:themeColor="text1" w:themeTint="D9"/>
        </w:rPr>
      </w:pPr>
    </w:p>
    <w:p w14:paraId="7F9602B7" w14:textId="1DF2DFEE" w:rsidR="003D5E4E" w:rsidRPr="003D5E4E" w:rsidRDefault="003D5E4E" w:rsidP="003D5E4E">
      <w:pPr>
        <w:spacing w:after="0" w:line="276" w:lineRule="auto"/>
        <w:rPr>
          <w:rFonts w:ascii="Cambria" w:hAnsi="Cambria"/>
          <w:color w:val="262626" w:themeColor="text1" w:themeTint="D9"/>
        </w:rPr>
      </w:pPr>
      <w:r w:rsidRPr="003D5E4E">
        <w:rPr>
          <w:rFonts w:ascii="Cambria" w:hAnsi="Cambria"/>
          <w:color w:val="262626" w:themeColor="text1" w:themeTint="D9"/>
        </w:rPr>
        <w:t xml:space="preserve">Un dato relevante es la cantidad de tiempo que se utilizó para la resolución de los asuntos en materia civil, ya que fue la que mayor tiempo requirió y fue únicamente para 13 expedientes (Sucesión, ordinario y Auxilio Judicial Internacional). La materia laboral, que es la que representa el 94% de los asuntos terminados requirió un tiempo menor para su finiquito. </w:t>
      </w:r>
    </w:p>
    <w:p w14:paraId="7DF84325" w14:textId="77777777" w:rsidR="00740999" w:rsidRDefault="00740999" w:rsidP="003D5E4E">
      <w:pPr>
        <w:spacing w:after="0" w:line="276" w:lineRule="auto"/>
        <w:rPr>
          <w:rFonts w:ascii="Cambria" w:hAnsi="Cambria"/>
          <w:color w:val="262626" w:themeColor="text1" w:themeTint="D9"/>
        </w:rPr>
      </w:pPr>
    </w:p>
    <w:p w14:paraId="34FF23ED" w14:textId="5F5FEC47" w:rsidR="00561B49" w:rsidRDefault="003D5E4E" w:rsidP="003D5E4E">
      <w:pPr>
        <w:spacing w:after="0" w:line="276" w:lineRule="auto"/>
        <w:rPr>
          <w:rFonts w:ascii="Cambria" w:hAnsi="Cambria"/>
          <w:color w:val="262626" w:themeColor="text1" w:themeTint="D9"/>
        </w:rPr>
      </w:pPr>
      <w:r w:rsidRPr="003D5E4E">
        <w:rPr>
          <w:rFonts w:ascii="Cambria" w:hAnsi="Cambria"/>
          <w:color w:val="262626" w:themeColor="text1" w:themeTint="D9"/>
        </w:rPr>
        <w:t>Según lo expreso la Sala Segunda, una justificante en el incremento del tiempo promedio utilizado por el despacho para la resolución de los procesos, fue que el despacho ha venido realizando grandes esfuerzos en la culminación de los asuntos de más vieja data de estar en el despacho.</w:t>
      </w:r>
    </w:p>
    <w:p w14:paraId="3C16B6C3" w14:textId="77777777" w:rsidR="00561B49" w:rsidRDefault="00561B49" w:rsidP="00561B49">
      <w:pPr>
        <w:spacing w:line="276" w:lineRule="auto"/>
        <w:rPr>
          <w:rFonts w:ascii="Cambria" w:hAnsi="Cambria"/>
          <w:color w:val="262626" w:themeColor="text1" w:themeTint="D9"/>
        </w:rPr>
      </w:pPr>
    </w:p>
    <w:p w14:paraId="4E6E28BC" w14:textId="6A116741" w:rsidR="00561B49" w:rsidRPr="003537A8" w:rsidRDefault="003C652D" w:rsidP="00561B49">
      <w:pPr>
        <w:pStyle w:val="Ttulo1"/>
        <w:rPr>
          <w:rFonts w:ascii="Cambria" w:hAnsi="Cambria" w:cs="Times New Roman"/>
          <w:b/>
          <w:bCs/>
          <w:color w:val="1E9BD7"/>
          <w:sz w:val="28"/>
          <w:szCs w:val="28"/>
        </w:rPr>
      </w:pPr>
      <w:bookmarkStart w:id="7" w:name="_Toc114130275"/>
      <w:r w:rsidRPr="003537A8">
        <w:rPr>
          <w:rFonts w:ascii="Cambria" w:hAnsi="Cambria"/>
          <w:noProof/>
        </w:rPr>
        <w:drawing>
          <wp:anchor distT="0" distB="0" distL="114300" distR="114300" simplePos="0" relativeHeight="251666432" behindDoc="0" locked="0" layoutInCell="1" allowOverlap="1" wp14:anchorId="7483B2FB" wp14:editId="167D2486">
            <wp:simplePos x="0" y="0"/>
            <wp:positionH relativeFrom="column">
              <wp:align>left</wp:align>
            </wp:positionH>
            <wp:positionV relativeFrom="paragraph">
              <wp:posOffset>82550</wp:posOffset>
            </wp:positionV>
            <wp:extent cx="204470" cy="204470"/>
            <wp:effectExtent l="0" t="0" r="5080" b="5080"/>
            <wp:wrapSquare wrapText="bothSides"/>
            <wp:docPr id="41" name="Gráfico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w:r>
      <w:r w:rsidR="00561B49" w:rsidRPr="003537A8">
        <w:rPr>
          <w:rFonts w:ascii="Cambria" w:hAnsi="Cambria" w:cs="Times New Roman"/>
          <w:b/>
          <w:bCs/>
          <w:color w:val="1E9BD7"/>
          <w:sz w:val="28"/>
          <w:szCs w:val="28"/>
        </w:rPr>
        <w:t xml:space="preserve">Oportunidades de </w:t>
      </w:r>
      <w:r w:rsidR="00561B49">
        <w:rPr>
          <w:rFonts w:ascii="Cambria" w:hAnsi="Cambria" w:cs="Times New Roman"/>
          <w:b/>
          <w:bCs/>
          <w:color w:val="1E9BD7"/>
          <w:sz w:val="28"/>
          <w:szCs w:val="28"/>
        </w:rPr>
        <w:t>M</w:t>
      </w:r>
      <w:r w:rsidR="00561B49" w:rsidRPr="003537A8">
        <w:rPr>
          <w:rFonts w:ascii="Cambria" w:hAnsi="Cambria" w:cs="Times New Roman"/>
          <w:b/>
          <w:bCs/>
          <w:color w:val="1E9BD7"/>
          <w:sz w:val="28"/>
          <w:szCs w:val="28"/>
        </w:rPr>
        <w:t>ejora</w:t>
      </w:r>
      <w:bookmarkEnd w:id="7"/>
      <w:r w:rsidR="00561B49" w:rsidRPr="003537A8">
        <w:rPr>
          <w:rFonts w:ascii="Cambria" w:hAnsi="Cambria" w:cs="Times New Roman"/>
          <w:b/>
          <w:bCs/>
          <w:color w:val="1E9BD7"/>
          <w:sz w:val="28"/>
          <w:szCs w:val="28"/>
        </w:rPr>
        <w:t xml:space="preserve"> </w:t>
      </w:r>
    </w:p>
    <w:p w14:paraId="52F36314" w14:textId="06555987" w:rsidR="00561B49" w:rsidRDefault="003D5E4E" w:rsidP="00561B49">
      <w:pPr>
        <w:spacing w:line="276" w:lineRule="auto"/>
        <w:rPr>
          <w:rFonts w:ascii="Cambria" w:hAnsi="Cambria"/>
          <w:color w:val="262626" w:themeColor="text1" w:themeTint="D9"/>
        </w:rPr>
      </w:pPr>
      <w:r w:rsidRPr="003D5E4E">
        <w:rPr>
          <w:rFonts w:ascii="Cambria" w:hAnsi="Cambria"/>
          <w:color w:val="262626" w:themeColor="text1" w:themeTint="D9"/>
        </w:rPr>
        <w:t>De seguido se sugieren algunas oportunidades de mejora, vinculadas con la gestión de la Sala Segunda.</w:t>
      </w:r>
    </w:p>
    <w:p w14:paraId="13585295" w14:textId="77777777" w:rsidR="003D5E4E" w:rsidRDefault="003D5E4E" w:rsidP="00561B49">
      <w:pPr>
        <w:spacing w:line="276" w:lineRule="auto"/>
        <w:rPr>
          <w:rFonts w:ascii="Cambria" w:hAnsi="Cambria"/>
          <w:color w:val="262626" w:themeColor="text1" w:themeTint="D9"/>
        </w:rPr>
      </w:pPr>
    </w:p>
    <w:p w14:paraId="5E2CE994" w14:textId="6EFD5025" w:rsidR="00561B49" w:rsidRDefault="00561B49" w:rsidP="00561B49">
      <w:pPr>
        <w:spacing w:line="276" w:lineRule="auto"/>
        <w:rPr>
          <w:rFonts w:ascii="Cambria" w:hAnsi="Cambria"/>
          <w:color w:val="262626" w:themeColor="text1" w:themeTint="D9"/>
        </w:rPr>
      </w:pPr>
      <w:r w:rsidRPr="002C6662">
        <w:rPr>
          <w:rFonts w:ascii="Cambria" w:hAnsi="Cambria"/>
          <w:color w:val="1E9BD7"/>
        </w:rPr>
        <w:t>•</w:t>
      </w:r>
      <w:r>
        <w:rPr>
          <w:rFonts w:ascii="Cambria" w:hAnsi="Cambria"/>
          <w:color w:val="262626" w:themeColor="text1" w:themeTint="D9"/>
        </w:rPr>
        <w:t xml:space="preserve"> </w:t>
      </w:r>
      <w:r w:rsidR="003D5E4E" w:rsidRPr="003D5E4E">
        <w:rPr>
          <w:rFonts w:ascii="Cambria" w:hAnsi="Cambria"/>
          <w:color w:val="262626" w:themeColor="text1" w:themeTint="D9"/>
        </w:rPr>
        <w:t>Se recomienda que, al momento de ingresar los expedientes al sistema, se incluyan según su materia, ya que producto del análisis realizado, se detectaron dos expedientes encasillados en “Sala Segunda” la cual no corresponde a una materia.</w:t>
      </w:r>
    </w:p>
    <w:p w14:paraId="7C09C182" w14:textId="77777777" w:rsidR="00561B49" w:rsidRDefault="00561B49" w:rsidP="00561B49">
      <w:pPr>
        <w:spacing w:line="276" w:lineRule="auto"/>
        <w:rPr>
          <w:rFonts w:ascii="Cambria" w:hAnsi="Cambria"/>
          <w:color w:val="262626" w:themeColor="text1" w:themeTint="D9"/>
        </w:rPr>
      </w:pPr>
    </w:p>
    <w:p w14:paraId="1D5183E7" w14:textId="48B79DA3" w:rsidR="00561B49" w:rsidRDefault="00561B49" w:rsidP="00561B49">
      <w:pPr>
        <w:spacing w:line="276" w:lineRule="auto"/>
        <w:rPr>
          <w:rFonts w:ascii="Cambria" w:hAnsi="Cambria"/>
          <w:color w:val="262626" w:themeColor="text1" w:themeTint="D9"/>
        </w:rPr>
      </w:pPr>
      <w:r w:rsidRPr="002C6662">
        <w:rPr>
          <w:rFonts w:ascii="Cambria" w:hAnsi="Cambria"/>
          <w:color w:val="1E9BD7"/>
        </w:rPr>
        <w:t>•</w:t>
      </w:r>
      <w:r>
        <w:rPr>
          <w:rFonts w:ascii="Cambria" w:hAnsi="Cambria"/>
          <w:color w:val="262626" w:themeColor="text1" w:themeTint="D9"/>
        </w:rPr>
        <w:t xml:space="preserve"> </w:t>
      </w:r>
      <w:r w:rsidR="003D5E4E" w:rsidRPr="003D5E4E">
        <w:rPr>
          <w:rFonts w:ascii="Cambria" w:hAnsi="Cambria"/>
          <w:color w:val="262626" w:themeColor="text1" w:themeTint="D9"/>
        </w:rPr>
        <w:t>Se insta a continuar aplicando lo que indican las circulares, protocolos y planes que se han aprobado por el Consejo Superior con el fin de promover la mejora continua, eficiencia y eficacia.</w:t>
      </w:r>
    </w:p>
    <w:p w14:paraId="7125FB11" w14:textId="77777777" w:rsidR="00561B49" w:rsidRDefault="00561B49" w:rsidP="00561B49">
      <w:pPr>
        <w:spacing w:line="276" w:lineRule="auto"/>
        <w:rPr>
          <w:rFonts w:ascii="Cambria" w:hAnsi="Cambria"/>
          <w:color w:val="262626" w:themeColor="text1" w:themeTint="D9"/>
        </w:rPr>
      </w:pPr>
    </w:p>
    <w:p w14:paraId="66F17CC8" w14:textId="7656906A" w:rsidR="003D5E4E" w:rsidRDefault="00561B49" w:rsidP="00561B49">
      <w:pPr>
        <w:spacing w:line="276" w:lineRule="auto"/>
        <w:rPr>
          <w:rFonts w:ascii="Cambria" w:hAnsi="Cambria"/>
          <w:color w:val="262626" w:themeColor="text1" w:themeTint="D9"/>
        </w:rPr>
      </w:pPr>
      <w:r w:rsidRPr="002C6662">
        <w:rPr>
          <w:rFonts w:ascii="Cambria" w:hAnsi="Cambria"/>
          <w:color w:val="1E9BD7"/>
        </w:rPr>
        <w:t>•</w:t>
      </w:r>
      <w:r>
        <w:rPr>
          <w:rFonts w:ascii="Cambria" w:hAnsi="Cambria"/>
          <w:color w:val="262626" w:themeColor="text1" w:themeTint="D9"/>
        </w:rPr>
        <w:t xml:space="preserve">  </w:t>
      </w:r>
      <w:r w:rsidR="003D5E4E" w:rsidRPr="003D5E4E">
        <w:rPr>
          <w:rFonts w:ascii="Cambria" w:hAnsi="Cambria"/>
          <w:color w:val="262626" w:themeColor="text1" w:themeTint="D9"/>
        </w:rPr>
        <w:t xml:space="preserve">La principal herramienta con la que se cuenta actualmente por parte del Subproceso de Estadística para la visualización, análisis y posterior estructuración de información es el sistema SIGMA. Por tal motivo es que se define como el principal insumo de mejora y en el contexto de lo relacionado específicamente con las variables con perspectiva de género, la necesidad hacia la continuidad de capacitación del personal judicial en los diferentes despachos a nivel nacional para solventar a futuro, información en blanco, faltante o </w:t>
      </w:r>
    </w:p>
    <w:p w14:paraId="591DB814" w14:textId="3C54A1D1" w:rsidR="00561B49" w:rsidRDefault="003D5E4E" w:rsidP="00561B49">
      <w:pPr>
        <w:spacing w:line="276" w:lineRule="auto"/>
        <w:rPr>
          <w:rFonts w:ascii="Cambria" w:hAnsi="Cambria"/>
          <w:color w:val="262626" w:themeColor="text1" w:themeTint="D9"/>
        </w:rPr>
      </w:pPr>
      <w:r w:rsidRPr="003D5E4E">
        <w:rPr>
          <w:rFonts w:ascii="Cambria" w:hAnsi="Cambria"/>
          <w:color w:val="262626" w:themeColor="text1" w:themeTint="D9"/>
        </w:rPr>
        <w:t>mal digitada que resulta en lo que se definió como “dato desconocido” ratificando la importancia del correcto ingreso de los datos a nivel del sistema informático.</w:t>
      </w:r>
      <w:r>
        <w:rPr>
          <w:rFonts w:ascii="Cambria" w:hAnsi="Cambria"/>
          <w:color w:val="262626" w:themeColor="text1" w:themeTint="D9"/>
        </w:rPr>
        <w:t xml:space="preserve"> </w:t>
      </w:r>
    </w:p>
    <w:p w14:paraId="7F925F13" w14:textId="77777777" w:rsidR="003D5E4E" w:rsidRDefault="003D5E4E" w:rsidP="00561B49">
      <w:pPr>
        <w:spacing w:line="276" w:lineRule="auto"/>
        <w:rPr>
          <w:rFonts w:ascii="Cambria" w:hAnsi="Cambria"/>
          <w:color w:val="262626" w:themeColor="text1" w:themeTint="D9"/>
        </w:rPr>
      </w:pPr>
    </w:p>
    <w:p w14:paraId="7266F250" w14:textId="66297DBB" w:rsidR="003D5E4E" w:rsidRDefault="003D5E4E" w:rsidP="00561B49">
      <w:pPr>
        <w:spacing w:line="276" w:lineRule="auto"/>
        <w:rPr>
          <w:rFonts w:ascii="Cambria" w:hAnsi="Cambria"/>
          <w:color w:val="262626" w:themeColor="text1" w:themeTint="D9"/>
        </w:rPr>
      </w:pPr>
      <w:r w:rsidRPr="002C6662">
        <w:rPr>
          <w:rFonts w:ascii="Cambria" w:hAnsi="Cambria"/>
          <w:color w:val="1E9BD7"/>
        </w:rPr>
        <w:t>•</w:t>
      </w:r>
      <w:r>
        <w:rPr>
          <w:rFonts w:ascii="Cambria" w:hAnsi="Cambria"/>
          <w:color w:val="262626" w:themeColor="text1" w:themeTint="D9"/>
        </w:rPr>
        <w:t xml:space="preserve">  </w:t>
      </w:r>
      <w:r w:rsidRPr="003D5E4E">
        <w:rPr>
          <w:rFonts w:ascii="Cambria" w:hAnsi="Cambria"/>
          <w:color w:val="262626" w:themeColor="text1" w:themeTint="D9"/>
        </w:rPr>
        <w:t>Se les insta a los despachos a mejorar el ingreso de la información en los sistemas y de ser necesario realizar las consultas en temas estadísticos al Subproceso de Estadística.</w:t>
      </w:r>
    </w:p>
    <w:p w14:paraId="60C955F5" w14:textId="77777777" w:rsidR="002538F9" w:rsidRDefault="002538F9" w:rsidP="00561B49">
      <w:pPr>
        <w:spacing w:line="276" w:lineRule="auto"/>
        <w:rPr>
          <w:rFonts w:ascii="Cambria" w:hAnsi="Cambria"/>
          <w:color w:val="262626" w:themeColor="text1" w:themeTint="D9"/>
        </w:rPr>
      </w:pPr>
    </w:p>
    <w:p w14:paraId="05B36171" w14:textId="4DADED2A" w:rsidR="003D5E4E" w:rsidRDefault="003D5E4E" w:rsidP="00561B49">
      <w:pPr>
        <w:spacing w:line="276" w:lineRule="auto"/>
        <w:rPr>
          <w:rFonts w:ascii="Cambria" w:hAnsi="Cambria"/>
          <w:color w:val="262626" w:themeColor="text1" w:themeTint="D9"/>
        </w:rPr>
      </w:pPr>
    </w:p>
    <w:p w14:paraId="2470382E" w14:textId="002800FA" w:rsidR="003D5E4E" w:rsidRDefault="003D5E4E" w:rsidP="00561B49">
      <w:pPr>
        <w:spacing w:line="276" w:lineRule="auto"/>
        <w:rPr>
          <w:rFonts w:ascii="Cambria" w:hAnsi="Cambria"/>
          <w:color w:val="262626" w:themeColor="text1" w:themeTint="D9"/>
        </w:rPr>
      </w:pPr>
    </w:p>
    <w:p w14:paraId="7F1AB072" w14:textId="72FC02AC" w:rsidR="002C6662" w:rsidRPr="00D32324" w:rsidRDefault="004D1FF2" w:rsidP="00D32324">
      <w:pPr>
        <w:rPr>
          <w:rFonts w:ascii="Cambria" w:hAnsi="Cambria"/>
          <w:i/>
          <w:iCs/>
          <w:color w:val="262626" w:themeColor="text1" w:themeTint="D9"/>
        </w:rPr>
        <w:sectPr w:rsidR="002C6662" w:rsidRPr="00D32324" w:rsidSect="00F1117E">
          <w:type w:val="continuous"/>
          <w:pgSz w:w="12240" w:h="15840"/>
          <w:pgMar w:top="1440" w:right="1440" w:bottom="1440" w:left="1440" w:header="340" w:footer="170" w:gutter="0"/>
          <w:cols w:num="2" w:space="708"/>
          <w:docGrid w:linePitch="360"/>
        </w:sectPr>
      </w:pPr>
      <w:r>
        <w:rPr>
          <w:rFonts w:ascii="Cambria" w:hAnsi="Cambria"/>
          <w:i/>
          <w:iCs/>
          <w:color w:val="262626" w:themeColor="text1" w:themeTint="D9"/>
        </w:rPr>
        <w:t xml:space="preserve">* </w:t>
      </w:r>
      <w:r w:rsidR="000639E0" w:rsidRPr="000639E0">
        <w:rPr>
          <w:rFonts w:ascii="Cambria" w:hAnsi="Cambria"/>
          <w:i/>
          <w:iCs/>
          <w:color w:val="262626" w:themeColor="text1" w:themeTint="D9"/>
        </w:rPr>
        <w:t>Fuente: Departamento de Planificación del Poder judicial.</w:t>
      </w:r>
      <w:r w:rsidR="00D32324" w:rsidRPr="00D32324">
        <w:rPr>
          <w:rFonts w:ascii="Cambria" w:eastAsia="Times New Roman" w:hAnsi="Cambria" w:cs="Times New Roman"/>
          <w:color w:val="262626" w:themeColor="text1" w:themeTint="D9"/>
          <w:sz w:val="22"/>
          <w:lang w:val="es-ES" w:eastAsia="es-ES"/>
        </w:rPr>
        <w:t xml:space="preserve"> </w:t>
      </w:r>
      <w:r w:rsidR="00D32324" w:rsidRPr="00D32324">
        <w:rPr>
          <w:rFonts w:ascii="Cambria" w:eastAsia="Times New Roman" w:hAnsi="Cambria" w:cs="Times New Roman"/>
          <w:i/>
          <w:iCs/>
          <w:color w:val="262626" w:themeColor="text1" w:themeTint="D9"/>
          <w:sz w:val="22"/>
          <w:lang w:val="es-ES" w:eastAsia="es-ES"/>
        </w:rPr>
        <w:t>Unidad de Análisis Estadístico</w:t>
      </w:r>
      <w:r w:rsidR="00D32324" w:rsidRPr="00D32324">
        <w:rPr>
          <w:rFonts w:ascii="Cambria" w:eastAsia="Times New Roman" w:hAnsi="Cambria" w:cs="Times New Roman"/>
          <w:i/>
          <w:iCs/>
          <w:color w:val="262626" w:themeColor="text1" w:themeTint="D9"/>
          <w:sz w:val="22"/>
          <w:lang w:val="es-ES" w:eastAsia="es-ES"/>
        </w:rPr>
        <w:t>.</w:t>
      </w:r>
    </w:p>
    <w:p w14:paraId="6619D029" w14:textId="50928E94" w:rsidR="00561B49" w:rsidRPr="003D5E4E" w:rsidRDefault="00561B49" w:rsidP="00561B49">
      <w:pPr>
        <w:spacing w:line="276" w:lineRule="auto"/>
        <w:rPr>
          <w:rFonts w:ascii="Cambria" w:hAnsi="Cambria"/>
          <w:i/>
          <w:iCs/>
          <w:color w:val="262626" w:themeColor="text1" w:themeTint="D9"/>
        </w:rPr>
      </w:pPr>
      <w:r w:rsidRPr="003D5E4E">
        <w:rPr>
          <w:rFonts w:ascii="Cambria" w:hAnsi="Cambria"/>
          <w:i/>
          <w:iCs/>
          <w:color w:val="262626" w:themeColor="text1" w:themeTint="D9"/>
        </w:rPr>
        <w:t>Este informe cuenta con las revisiones y con los ajustes correspondientes, por parte de las Jefaturas indicadas.</w:t>
      </w:r>
    </w:p>
    <w:p w14:paraId="07539FF9" w14:textId="77777777" w:rsidR="00561B49" w:rsidRPr="00D530A8" w:rsidRDefault="00561B49" w:rsidP="00561B49">
      <w:pPr>
        <w:spacing w:line="276" w:lineRule="auto"/>
        <w:rPr>
          <w:rFonts w:ascii="Cambria" w:hAnsi="Cambria"/>
          <w:color w:val="262626" w:themeColor="text1" w:themeTint="D9"/>
        </w:rPr>
      </w:pPr>
    </w:p>
    <w:tbl>
      <w:tblPr>
        <w:tblW w:w="5076"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2123"/>
        <w:gridCol w:w="4252"/>
        <w:gridCol w:w="3117"/>
      </w:tblGrid>
      <w:tr w:rsidR="00561B49" w:rsidRPr="00946CD6" w14:paraId="03FAF90E" w14:textId="77777777" w:rsidTr="00946CD6">
        <w:trPr>
          <w:trHeight w:val="332"/>
          <w:jc w:val="center"/>
        </w:trPr>
        <w:tc>
          <w:tcPr>
            <w:tcW w:w="1118" w:type="pct"/>
            <w:shd w:val="clear" w:color="auto" w:fill="F2F2F2" w:themeFill="background1" w:themeFillShade="F2"/>
            <w:vAlign w:val="center"/>
          </w:tcPr>
          <w:p w14:paraId="2E2CB63A" w14:textId="77777777" w:rsidR="00561B49" w:rsidRPr="00946CD6" w:rsidRDefault="00561B49" w:rsidP="0083770C">
            <w:pPr>
              <w:widowControl w:val="0"/>
              <w:autoSpaceDE w:val="0"/>
              <w:autoSpaceDN w:val="0"/>
              <w:adjustRightInd w:val="0"/>
              <w:jc w:val="left"/>
              <w:rPr>
                <w:rFonts w:ascii="Cambria" w:eastAsia="Times New Roman" w:hAnsi="Cambria" w:cs="Times New Roman"/>
                <w:b/>
                <w:color w:val="262626" w:themeColor="text1" w:themeTint="D9"/>
                <w:sz w:val="22"/>
                <w:lang w:val="es-ES" w:eastAsia="es-ES"/>
              </w:rPr>
            </w:pPr>
          </w:p>
        </w:tc>
        <w:tc>
          <w:tcPr>
            <w:tcW w:w="2240" w:type="pct"/>
            <w:shd w:val="clear" w:color="auto" w:fill="F2F2F2" w:themeFill="background1" w:themeFillShade="F2"/>
            <w:vAlign w:val="center"/>
          </w:tcPr>
          <w:p w14:paraId="04578D57" w14:textId="77777777" w:rsidR="00561B49" w:rsidRPr="00946CD6" w:rsidRDefault="00561B49" w:rsidP="0083770C">
            <w:pPr>
              <w:widowControl w:val="0"/>
              <w:autoSpaceDE w:val="0"/>
              <w:autoSpaceDN w:val="0"/>
              <w:adjustRightInd w:val="0"/>
              <w:jc w:val="center"/>
              <w:rPr>
                <w:rFonts w:ascii="Cambria" w:eastAsia="Times New Roman" w:hAnsi="Cambria" w:cs="Times New Roman"/>
                <w:b/>
                <w:color w:val="262626" w:themeColor="text1" w:themeTint="D9"/>
                <w:sz w:val="22"/>
                <w:lang w:val="es-ES" w:eastAsia="es-ES"/>
              </w:rPr>
            </w:pPr>
            <w:r w:rsidRPr="00946CD6">
              <w:rPr>
                <w:rFonts w:ascii="Cambria" w:eastAsia="Times New Roman" w:hAnsi="Cambria" w:cs="Times New Roman"/>
                <w:b/>
                <w:color w:val="262626" w:themeColor="text1" w:themeTint="D9"/>
                <w:sz w:val="22"/>
                <w:lang w:val="es-ES" w:eastAsia="es-ES"/>
              </w:rPr>
              <w:t>Nombre</w:t>
            </w:r>
          </w:p>
        </w:tc>
        <w:tc>
          <w:tcPr>
            <w:tcW w:w="1642" w:type="pct"/>
            <w:shd w:val="clear" w:color="auto" w:fill="F2F2F2" w:themeFill="background1" w:themeFillShade="F2"/>
            <w:vAlign w:val="center"/>
          </w:tcPr>
          <w:p w14:paraId="2DD5F3E9" w14:textId="77777777" w:rsidR="00561B49" w:rsidRPr="00946CD6" w:rsidRDefault="00561B49" w:rsidP="0083770C">
            <w:pPr>
              <w:widowControl w:val="0"/>
              <w:autoSpaceDE w:val="0"/>
              <w:autoSpaceDN w:val="0"/>
              <w:adjustRightInd w:val="0"/>
              <w:jc w:val="center"/>
              <w:rPr>
                <w:rFonts w:ascii="Cambria" w:eastAsia="Times New Roman" w:hAnsi="Cambria" w:cs="Times New Roman"/>
                <w:b/>
                <w:color w:val="262626" w:themeColor="text1" w:themeTint="D9"/>
                <w:sz w:val="22"/>
                <w:lang w:val="es-ES" w:eastAsia="es-ES"/>
              </w:rPr>
            </w:pPr>
            <w:r w:rsidRPr="00946CD6">
              <w:rPr>
                <w:rFonts w:ascii="Cambria" w:eastAsia="Times New Roman" w:hAnsi="Cambria" w:cs="Times New Roman"/>
                <w:b/>
                <w:color w:val="262626" w:themeColor="text1" w:themeTint="D9"/>
                <w:sz w:val="22"/>
                <w:lang w:val="es-ES" w:eastAsia="es-ES"/>
              </w:rPr>
              <w:t>Puesto</w:t>
            </w:r>
          </w:p>
        </w:tc>
      </w:tr>
      <w:tr w:rsidR="00946CD6" w:rsidRPr="00946CD6" w14:paraId="50D89E29" w14:textId="77777777" w:rsidTr="00946CD6">
        <w:trPr>
          <w:trHeight w:val="632"/>
          <w:jc w:val="center"/>
        </w:trPr>
        <w:tc>
          <w:tcPr>
            <w:tcW w:w="1118" w:type="pct"/>
            <w:shd w:val="clear" w:color="auto" w:fill="auto"/>
            <w:vAlign w:val="center"/>
          </w:tcPr>
          <w:p w14:paraId="4E314588" w14:textId="77777777" w:rsidR="00946CD6" w:rsidRPr="00946CD6" w:rsidRDefault="00946CD6" w:rsidP="00946CD6">
            <w:pPr>
              <w:widowControl w:val="0"/>
              <w:autoSpaceDE w:val="0"/>
              <w:autoSpaceDN w:val="0"/>
              <w:adjustRightInd w:val="0"/>
              <w:jc w:val="left"/>
              <w:rPr>
                <w:rFonts w:ascii="Cambria" w:eastAsia="Times New Roman" w:hAnsi="Cambria" w:cs="Times New Roman"/>
                <w:bCs/>
                <w:color w:val="262626" w:themeColor="text1" w:themeTint="D9"/>
                <w:sz w:val="22"/>
                <w:lang w:val="es-ES" w:eastAsia="es-CR"/>
              </w:rPr>
            </w:pPr>
            <w:r w:rsidRPr="00946CD6">
              <w:rPr>
                <w:rFonts w:ascii="Cambria" w:eastAsia="Times New Roman" w:hAnsi="Cambria" w:cs="Times New Roman"/>
                <w:bCs/>
                <w:color w:val="262626" w:themeColor="text1" w:themeTint="D9"/>
                <w:sz w:val="22"/>
                <w:lang w:val="es-ES" w:eastAsia="es-CR"/>
              </w:rPr>
              <w:t>Elaborado por:</w:t>
            </w:r>
          </w:p>
        </w:tc>
        <w:tc>
          <w:tcPr>
            <w:tcW w:w="2240" w:type="pct"/>
            <w:vAlign w:val="center"/>
          </w:tcPr>
          <w:p w14:paraId="53455C21" w14:textId="23BF9328" w:rsidR="00946CD6" w:rsidRPr="00946CD6" w:rsidRDefault="00946CD6" w:rsidP="00946CD6">
            <w:pPr>
              <w:widowControl w:val="0"/>
              <w:autoSpaceDE w:val="0"/>
              <w:autoSpaceDN w:val="0"/>
              <w:adjustRightInd w:val="0"/>
              <w:jc w:val="left"/>
              <w:rPr>
                <w:rFonts w:ascii="Cambria" w:hAnsi="Cambria" w:cs="Times New Roman"/>
                <w:color w:val="262626" w:themeColor="text1" w:themeTint="D9"/>
                <w:sz w:val="22"/>
              </w:rPr>
            </w:pPr>
            <w:r w:rsidRPr="00946CD6">
              <w:rPr>
                <w:rFonts w:ascii="Cambria" w:hAnsi="Cambria"/>
                <w:color w:val="262626"/>
                <w:sz w:val="22"/>
                <w:lang w:val="es-ES"/>
              </w:rPr>
              <w:t>Lic.</w:t>
            </w:r>
            <w:r w:rsidRPr="00946CD6">
              <w:rPr>
                <w:rFonts w:ascii="Cambria" w:hAnsi="Cambria"/>
                <w:color w:val="262626"/>
                <w:sz w:val="22"/>
              </w:rPr>
              <w:t xml:space="preserve"> Anthony Sibaja Hernández</w:t>
            </w:r>
          </w:p>
        </w:tc>
        <w:tc>
          <w:tcPr>
            <w:tcW w:w="1642" w:type="pct"/>
            <w:vAlign w:val="center"/>
          </w:tcPr>
          <w:p w14:paraId="26EC4325" w14:textId="77777777" w:rsidR="00946CD6" w:rsidRPr="00946CD6" w:rsidRDefault="00946CD6" w:rsidP="00946CD6">
            <w:pPr>
              <w:widowControl w:val="0"/>
              <w:autoSpaceDE w:val="0"/>
              <w:autoSpaceDN w:val="0"/>
              <w:adjustRightInd w:val="0"/>
              <w:jc w:val="left"/>
              <w:rPr>
                <w:rFonts w:ascii="Cambria" w:eastAsia="Times New Roman" w:hAnsi="Cambria" w:cs="Times New Roman"/>
                <w:color w:val="262626" w:themeColor="text1" w:themeTint="D9"/>
                <w:sz w:val="22"/>
                <w:lang w:val="es-ES" w:eastAsia="es-ES"/>
              </w:rPr>
            </w:pPr>
            <w:r w:rsidRPr="00946CD6">
              <w:rPr>
                <w:rFonts w:ascii="Cambria" w:eastAsia="Times New Roman" w:hAnsi="Cambria" w:cs="Times New Roman"/>
                <w:color w:val="262626" w:themeColor="text1" w:themeTint="D9"/>
                <w:sz w:val="22"/>
                <w:lang w:val="es-ES" w:eastAsia="es-ES"/>
              </w:rPr>
              <w:t>Profesional 2</w:t>
            </w:r>
          </w:p>
        </w:tc>
      </w:tr>
      <w:tr w:rsidR="00946CD6" w:rsidRPr="00946CD6" w14:paraId="5974CB24" w14:textId="77777777" w:rsidTr="00946CD6">
        <w:trPr>
          <w:trHeight w:val="632"/>
          <w:jc w:val="center"/>
        </w:trPr>
        <w:tc>
          <w:tcPr>
            <w:tcW w:w="1118" w:type="pct"/>
            <w:shd w:val="clear" w:color="auto" w:fill="auto"/>
            <w:vAlign w:val="center"/>
          </w:tcPr>
          <w:p w14:paraId="21385BD2" w14:textId="25028803" w:rsidR="00946CD6" w:rsidRPr="00946CD6" w:rsidRDefault="00946CD6" w:rsidP="00946CD6">
            <w:pPr>
              <w:widowControl w:val="0"/>
              <w:autoSpaceDE w:val="0"/>
              <w:autoSpaceDN w:val="0"/>
              <w:adjustRightInd w:val="0"/>
              <w:jc w:val="left"/>
              <w:rPr>
                <w:rFonts w:ascii="Cambria" w:eastAsia="Times New Roman" w:hAnsi="Cambria" w:cs="Times New Roman"/>
                <w:bCs/>
                <w:color w:val="262626" w:themeColor="text1" w:themeTint="D9"/>
                <w:sz w:val="22"/>
                <w:lang w:val="es-ES" w:eastAsia="es-CR"/>
              </w:rPr>
            </w:pPr>
            <w:r w:rsidRPr="00946CD6">
              <w:rPr>
                <w:rFonts w:ascii="Cambria" w:eastAsia="Times New Roman" w:hAnsi="Cambria" w:cs="Times New Roman"/>
                <w:bCs/>
                <w:color w:val="262626" w:themeColor="text1" w:themeTint="D9"/>
                <w:sz w:val="22"/>
                <w:lang w:val="es-ES" w:eastAsia="es-CR"/>
              </w:rPr>
              <w:t>Revisado por:</w:t>
            </w:r>
          </w:p>
        </w:tc>
        <w:tc>
          <w:tcPr>
            <w:tcW w:w="2240" w:type="pct"/>
            <w:vAlign w:val="center"/>
          </w:tcPr>
          <w:p w14:paraId="0A27415D" w14:textId="141407D7" w:rsidR="00946CD6" w:rsidRPr="00946CD6" w:rsidRDefault="00946CD6" w:rsidP="00946CD6">
            <w:pPr>
              <w:widowControl w:val="0"/>
              <w:autoSpaceDE w:val="0"/>
              <w:autoSpaceDN w:val="0"/>
              <w:adjustRightInd w:val="0"/>
              <w:jc w:val="left"/>
              <w:rPr>
                <w:rFonts w:ascii="Cambria" w:eastAsia="Times New Roman" w:hAnsi="Cambria" w:cs="Times New Roman"/>
                <w:color w:val="262626" w:themeColor="text1" w:themeTint="D9"/>
                <w:sz w:val="22"/>
                <w:lang w:val="es-ES" w:eastAsia="es-ES"/>
              </w:rPr>
            </w:pPr>
            <w:r w:rsidRPr="00946CD6">
              <w:rPr>
                <w:rFonts w:ascii="Cambria" w:eastAsia="Times New Roman" w:hAnsi="Cambria" w:cs="Times New Roman"/>
                <w:color w:val="262626" w:themeColor="text1" w:themeTint="D9"/>
                <w:sz w:val="22"/>
                <w:lang w:val="es-ES" w:eastAsia="es-ES"/>
              </w:rPr>
              <w:t>Licda. Marlen Vargas Benavides</w:t>
            </w:r>
          </w:p>
        </w:tc>
        <w:tc>
          <w:tcPr>
            <w:tcW w:w="1642" w:type="pct"/>
            <w:vAlign w:val="center"/>
          </w:tcPr>
          <w:p w14:paraId="1F03377F" w14:textId="21778DDF" w:rsidR="00946CD6" w:rsidRPr="00946CD6" w:rsidRDefault="00946CD6" w:rsidP="00946CD6">
            <w:pPr>
              <w:widowControl w:val="0"/>
              <w:autoSpaceDE w:val="0"/>
              <w:autoSpaceDN w:val="0"/>
              <w:adjustRightInd w:val="0"/>
              <w:jc w:val="left"/>
              <w:rPr>
                <w:rFonts w:ascii="Cambria" w:eastAsia="Times New Roman" w:hAnsi="Cambria" w:cs="Times New Roman"/>
                <w:color w:val="262626" w:themeColor="text1" w:themeTint="D9"/>
                <w:sz w:val="22"/>
                <w:lang w:val="es-ES" w:eastAsia="es-ES"/>
              </w:rPr>
            </w:pPr>
            <w:r w:rsidRPr="00946CD6">
              <w:rPr>
                <w:rFonts w:ascii="Cambria" w:eastAsia="Times New Roman" w:hAnsi="Cambria" w:cs="Times New Roman"/>
                <w:color w:val="262626" w:themeColor="text1" w:themeTint="D9"/>
                <w:sz w:val="22"/>
                <w:lang w:val="es-ES" w:eastAsia="es-ES"/>
              </w:rPr>
              <w:t>Coordinadora 3, Unidad de Análisis Estadístico</w:t>
            </w:r>
          </w:p>
        </w:tc>
      </w:tr>
      <w:tr w:rsidR="00946CD6" w:rsidRPr="00946CD6" w14:paraId="105FF2DA" w14:textId="77777777" w:rsidTr="00946CD6">
        <w:trPr>
          <w:trHeight w:val="632"/>
          <w:jc w:val="center"/>
        </w:trPr>
        <w:tc>
          <w:tcPr>
            <w:tcW w:w="1118" w:type="pct"/>
            <w:shd w:val="clear" w:color="auto" w:fill="auto"/>
            <w:vAlign w:val="center"/>
          </w:tcPr>
          <w:p w14:paraId="70A21345" w14:textId="142DBB57" w:rsidR="00946CD6" w:rsidRPr="00946CD6" w:rsidRDefault="00946CD6" w:rsidP="00946CD6">
            <w:pPr>
              <w:widowControl w:val="0"/>
              <w:autoSpaceDE w:val="0"/>
              <w:autoSpaceDN w:val="0"/>
              <w:adjustRightInd w:val="0"/>
              <w:jc w:val="left"/>
              <w:rPr>
                <w:rFonts w:ascii="Cambria" w:eastAsia="Times New Roman" w:hAnsi="Cambria" w:cs="Times New Roman"/>
                <w:bCs/>
                <w:color w:val="262626" w:themeColor="text1" w:themeTint="D9"/>
                <w:sz w:val="22"/>
                <w:lang w:val="es-ES" w:eastAsia="es-CR"/>
              </w:rPr>
            </w:pPr>
            <w:r w:rsidRPr="00946CD6">
              <w:rPr>
                <w:rFonts w:ascii="Cambria" w:eastAsia="Times New Roman" w:hAnsi="Cambria" w:cs="Times New Roman"/>
                <w:bCs/>
                <w:color w:val="262626" w:themeColor="text1" w:themeTint="D9"/>
                <w:sz w:val="22"/>
                <w:lang w:val="es-ES" w:eastAsia="es-CR"/>
              </w:rPr>
              <w:t>Aprobado por:</w:t>
            </w:r>
          </w:p>
        </w:tc>
        <w:tc>
          <w:tcPr>
            <w:tcW w:w="2240" w:type="pct"/>
            <w:vAlign w:val="center"/>
          </w:tcPr>
          <w:p w14:paraId="14CA2D30" w14:textId="64661633" w:rsidR="00946CD6" w:rsidRPr="00946CD6" w:rsidRDefault="00946CD6" w:rsidP="00946CD6">
            <w:pPr>
              <w:widowControl w:val="0"/>
              <w:autoSpaceDE w:val="0"/>
              <w:autoSpaceDN w:val="0"/>
              <w:adjustRightInd w:val="0"/>
              <w:jc w:val="left"/>
              <w:rPr>
                <w:rFonts w:ascii="Cambria" w:eastAsia="Times New Roman" w:hAnsi="Cambria" w:cs="Times New Roman"/>
                <w:color w:val="262626" w:themeColor="text1" w:themeTint="D9"/>
                <w:sz w:val="22"/>
                <w:lang w:val="es-ES" w:eastAsia="es-ES"/>
              </w:rPr>
            </w:pPr>
            <w:r w:rsidRPr="00946CD6">
              <w:rPr>
                <w:rFonts w:ascii="Cambria" w:hAnsi="Cambria" w:cs="Times New Roman"/>
                <w:color w:val="262626" w:themeColor="text1" w:themeTint="D9"/>
                <w:sz w:val="22"/>
              </w:rPr>
              <w:t>Licda. Ana Ericka Rodríguez Araya</w:t>
            </w:r>
          </w:p>
        </w:tc>
        <w:tc>
          <w:tcPr>
            <w:tcW w:w="1642" w:type="pct"/>
            <w:vAlign w:val="center"/>
          </w:tcPr>
          <w:p w14:paraId="2B344C4D" w14:textId="1C4C29CB" w:rsidR="00946CD6" w:rsidRPr="00946CD6" w:rsidRDefault="00946CD6" w:rsidP="00946CD6">
            <w:pPr>
              <w:widowControl w:val="0"/>
              <w:autoSpaceDE w:val="0"/>
              <w:autoSpaceDN w:val="0"/>
              <w:adjustRightInd w:val="0"/>
              <w:jc w:val="left"/>
              <w:rPr>
                <w:rFonts w:ascii="Cambria" w:eastAsia="Times New Roman" w:hAnsi="Cambria" w:cs="Times New Roman"/>
                <w:color w:val="262626" w:themeColor="text1" w:themeTint="D9"/>
                <w:sz w:val="22"/>
                <w:lang w:val="es-ES" w:eastAsia="es-ES"/>
              </w:rPr>
            </w:pPr>
            <w:r w:rsidRPr="00946CD6">
              <w:rPr>
                <w:rFonts w:ascii="Cambria" w:eastAsia="Times New Roman" w:hAnsi="Cambria" w:cs="Times New Roman"/>
                <w:color w:val="262626" w:themeColor="text1" w:themeTint="D9"/>
                <w:sz w:val="22"/>
                <w:lang w:val="es-ES" w:eastAsia="es-CR"/>
              </w:rPr>
              <w:t>Jefa, Sub Proceso de Estadística</w:t>
            </w:r>
          </w:p>
        </w:tc>
      </w:tr>
      <w:tr w:rsidR="00946CD6" w:rsidRPr="00946CD6" w14:paraId="05EF4CC1" w14:textId="77777777" w:rsidTr="00946CD6">
        <w:trPr>
          <w:trHeight w:val="632"/>
          <w:jc w:val="center"/>
        </w:trPr>
        <w:tc>
          <w:tcPr>
            <w:tcW w:w="1118" w:type="pct"/>
            <w:shd w:val="clear" w:color="auto" w:fill="auto"/>
            <w:vAlign w:val="center"/>
          </w:tcPr>
          <w:p w14:paraId="4BF4569B" w14:textId="69DAEB55" w:rsidR="00946CD6" w:rsidRPr="00946CD6" w:rsidRDefault="00946CD6" w:rsidP="00946CD6">
            <w:pPr>
              <w:widowControl w:val="0"/>
              <w:autoSpaceDE w:val="0"/>
              <w:autoSpaceDN w:val="0"/>
              <w:adjustRightInd w:val="0"/>
              <w:jc w:val="left"/>
              <w:rPr>
                <w:rFonts w:ascii="Cambria" w:eastAsia="Times New Roman" w:hAnsi="Cambria" w:cs="Times New Roman"/>
                <w:bCs/>
                <w:color w:val="262626" w:themeColor="text1" w:themeTint="D9"/>
                <w:sz w:val="22"/>
                <w:lang w:val="es-ES" w:eastAsia="es-CR"/>
              </w:rPr>
            </w:pPr>
            <w:r w:rsidRPr="00946CD6">
              <w:rPr>
                <w:rFonts w:ascii="Cambria" w:eastAsia="Times New Roman" w:hAnsi="Cambria" w:cs="Times New Roman"/>
                <w:bCs/>
                <w:color w:val="262626" w:themeColor="text1" w:themeTint="D9"/>
                <w:sz w:val="22"/>
                <w:lang w:val="es-ES" w:eastAsia="es-CR"/>
              </w:rPr>
              <w:t>Visto Bueno:</w:t>
            </w:r>
          </w:p>
        </w:tc>
        <w:tc>
          <w:tcPr>
            <w:tcW w:w="2240" w:type="pct"/>
            <w:vAlign w:val="center"/>
          </w:tcPr>
          <w:p w14:paraId="77AB6819" w14:textId="55B1109F" w:rsidR="00946CD6" w:rsidRPr="00946CD6" w:rsidRDefault="00946CD6" w:rsidP="00946CD6">
            <w:pPr>
              <w:jc w:val="left"/>
              <w:rPr>
                <w:rFonts w:ascii="Cambria" w:hAnsi="Cambria" w:cs="Times New Roman"/>
                <w:color w:val="262626" w:themeColor="text1" w:themeTint="D9"/>
                <w:sz w:val="22"/>
              </w:rPr>
            </w:pPr>
            <w:r w:rsidRPr="00946CD6">
              <w:rPr>
                <w:rFonts w:ascii="Cambria" w:eastAsia="Times New Roman" w:hAnsi="Cambria" w:cs="Times New Roman"/>
                <w:color w:val="262626" w:themeColor="text1" w:themeTint="D9"/>
                <w:sz w:val="22"/>
                <w:lang w:val="es-ES" w:eastAsia="es-CR"/>
              </w:rPr>
              <w:t>Ing. Dixon Li Morales</w:t>
            </w:r>
          </w:p>
        </w:tc>
        <w:tc>
          <w:tcPr>
            <w:tcW w:w="1642" w:type="pct"/>
            <w:vAlign w:val="center"/>
          </w:tcPr>
          <w:p w14:paraId="05C58797" w14:textId="5A47EB20" w:rsidR="00946CD6" w:rsidRPr="00946CD6" w:rsidRDefault="00946CD6" w:rsidP="00946CD6">
            <w:pPr>
              <w:widowControl w:val="0"/>
              <w:autoSpaceDE w:val="0"/>
              <w:autoSpaceDN w:val="0"/>
              <w:adjustRightInd w:val="0"/>
              <w:jc w:val="left"/>
              <w:rPr>
                <w:rFonts w:ascii="Cambria" w:eastAsia="Times New Roman" w:hAnsi="Cambria" w:cs="Times New Roman"/>
                <w:color w:val="262626" w:themeColor="text1" w:themeTint="D9"/>
                <w:sz w:val="22"/>
                <w:lang w:val="es-ES" w:eastAsia="es-ES"/>
              </w:rPr>
            </w:pPr>
            <w:r w:rsidRPr="00946CD6">
              <w:rPr>
                <w:rFonts w:ascii="Cambria" w:eastAsia="Times New Roman" w:hAnsi="Cambria" w:cs="Times New Roman"/>
                <w:color w:val="262626" w:themeColor="text1" w:themeTint="D9"/>
                <w:sz w:val="22"/>
                <w:lang w:val="es-ES" w:eastAsia="es-CR"/>
              </w:rPr>
              <w:t>Jefe a.í., Proceso Ejecución de las Operaciones</w:t>
            </w:r>
          </w:p>
        </w:tc>
      </w:tr>
    </w:tbl>
    <w:p w14:paraId="63AED1E6" w14:textId="77777777" w:rsidR="00561B49" w:rsidRDefault="00561B49" w:rsidP="00561B49">
      <w:pPr>
        <w:spacing w:line="276" w:lineRule="auto"/>
        <w:rPr>
          <w:rFonts w:ascii="Cambria" w:hAnsi="Cambria"/>
          <w:color w:val="262626" w:themeColor="text1" w:themeTint="D9"/>
        </w:rPr>
      </w:pPr>
    </w:p>
    <w:p w14:paraId="44B7413E" w14:textId="77777777" w:rsidR="00561B49" w:rsidRDefault="00561B49" w:rsidP="00561B49">
      <w:pPr>
        <w:spacing w:line="276" w:lineRule="auto"/>
        <w:rPr>
          <w:rFonts w:ascii="Cambria" w:hAnsi="Cambria"/>
          <w:color w:val="262626" w:themeColor="text1" w:themeTint="D9"/>
        </w:rPr>
      </w:pPr>
    </w:p>
    <w:p w14:paraId="719462BA" w14:textId="77777777" w:rsidR="00F34B57" w:rsidRDefault="00F34B57"/>
    <w:sectPr w:rsidR="00F34B57" w:rsidSect="008657F3">
      <w:type w:val="continuous"/>
      <w:pgSz w:w="12240" w:h="15840"/>
      <w:pgMar w:top="1440" w:right="1440" w:bottom="1440" w:left="1440"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ECE17" w14:textId="77777777" w:rsidR="00075FBD" w:rsidRDefault="00075FBD">
      <w:pPr>
        <w:spacing w:before="0" w:after="0" w:line="240" w:lineRule="auto"/>
      </w:pPr>
      <w:r>
        <w:separator/>
      </w:r>
    </w:p>
  </w:endnote>
  <w:endnote w:type="continuationSeparator" w:id="0">
    <w:p w14:paraId="47FC260C" w14:textId="77777777" w:rsidR="00075FBD" w:rsidRDefault="00075F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7E0C2" w14:textId="77777777" w:rsidR="00022F7A" w:rsidRPr="006220F2" w:rsidRDefault="00906055">
    <w:pPr>
      <w:pStyle w:val="Piedepgina"/>
      <w:jc w:val="right"/>
      <w:rPr>
        <w:rFonts w:ascii="Segoe UI" w:hAnsi="Segoe UI" w:cs="Segoe UI"/>
        <w:b/>
        <w:bCs/>
        <w:color w:val="F9CD15"/>
        <w:sz w:val="20"/>
        <w:szCs w:val="20"/>
      </w:rPr>
    </w:pPr>
    <w:r w:rsidRPr="006220F2">
      <w:rPr>
        <w:rFonts w:ascii="Segoe UI" w:hAnsi="Segoe UI" w:cs="Segoe UI"/>
        <w:b/>
        <w:bCs/>
        <w:noProof/>
        <w:color w:val="FFFFFF" w:themeColor="background1"/>
        <w:sz w:val="20"/>
        <w:szCs w:val="20"/>
        <w:lang w:val="es-ES"/>
      </w:rPr>
      <mc:AlternateContent>
        <mc:Choice Requires="wps">
          <w:drawing>
            <wp:anchor distT="45720" distB="45720" distL="114300" distR="114300" simplePos="0" relativeHeight="251660288" behindDoc="0" locked="0" layoutInCell="1" allowOverlap="1" wp14:anchorId="6399D26F" wp14:editId="1F2AE376">
              <wp:simplePos x="0" y="0"/>
              <wp:positionH relativeFrom="margin">
                <wp:align>left</wp:align>
              </wp:positionH>
              <wp:positionV relativeFrom="page">
                <wp:posOffset>9497060</wp:posOffset>
              </wp:positionV>
              <wp:extent cx="5544185" cy="398780"/>
              <wp:effectExtent l="0" t="0" r="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398780"/>
                      </a:xfrm>
                      <a:prstGeom prst="rect">
                        <a:avLst/>
                      </a:prstGeom>
                      <a:noFill/>
                      <a:ln w="9525">
                        <a:noFill/>
                        <a:miter lim="800000"/>
                        <a:headEnd/>
                        <a:tailEnd/>
                      </a:ln>
                    </wps:spPr>
                    <wps:txbx>
                      <w:txbxContent>
                        <w:p w14:paraId="0B228309" w14:textId="77777777" w:rsidR="00327CAF" w:rsidRPr="00EA293F" w:rsidRDefault="00906055" w:rsidP="00327CAF">
                          <w:pPr>
                            <w:jc w:val="center"/>
                            <w:rPr>
                              <w:rFonts w:ascii="Segoe UI" w:hAnsi="Segoe UI" w:cs="Segoe UI"/>
                              <w:color w:val="FFFFFF" w:themeColor="background1"/>
                              <w:sz w:val="20"/>
                              <w:szCs w:val="20"/>
                            </w:rPr>
                          </w:pPr>
                          <w:r w:rsidRPr="00EA293F">
                            <w:rPr>
                              <w:rFonts w:ascii="Segoe UI" w:hAnsi="Segoe UI" w:cs="Segoe UI"/>
                              <w:color w:val="FFFFFF" w:themeColor="background1"/>
                              <w:sz w:val="20"/>
                              <w:szCs w:val="20"/>
                            </w:rPr>
                            <w:t>Trabajamos por el desarrollo de la administración de justicia con proyección e innovación</w:t>
                          </w:r>
                        </w:p>
                        <w:p w14:paraId="4609B8E0" w14:textId="77777777" w:rsidR="00327CAF" w:rsidRPr="000C133C" w:rsidRDefault="00075FBD" w:rsidP="00327CAF">
                          <w:pPr>
                            <w:rPr>
                              <w:rFonts w:ascii="Segoe UI" w:hAnsi="Segoe UI" w:cs="Segoe UI"/>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99D26F" id="_x0000_t202" coordsize="21600,21600" o:spt="202" path="m,l,21600r21600,l21600,xe">
              <v:stroke joinstyle="miter"/>
              <v:path gradientshapeok="t" o:connecttype="rect"/>
            </v:shapetype>
            <v:shape id="Cuadro de texto 2" o:spid="_x0000_s1028" type="#_x0000_t202" style="position:absolute;left:0;text-align:left;margin-left:0;margin-top:747.8pt;width:436.55pt;height:31.4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" filled="f" stroked="f">
              <v:textbox>
                <w:txbxContent>
                  <w:p w14:paraId="0B228309" w14:textId="77777777" w:rsidR="00327CAF" w:rsidRPr="00EA293F" w:rsidRDefault="00906055" w:rsidP="00327CAF">
                    <w:pPr>
                      <w:jc w:val="center"/>
                      <w:rPr>
                        <w:rFonts w:ascii="Segoe UI" w:hAnsi="Segoe UI" w:cs="Segoe UI"/>
                        <w:color w:val="FFFFFF" w:themeColor="background1"/>
                        <w:sz w:val="20"/>
                        <w:szCs w:val="20"/>
                      </w:rPr>
                    </w:pPr>
                    <w:r w:rsidRPr="00EA293F">
                      <w:rPr>
                        <w:rFonts w:ascii="Segoe UI" w:hAnsi="Segoe UI" w:cs="Segoe UI"/>
                        <w:color w:val="FFFFFF" w:themeColor="background1"/>
                        <w:sz w:val="20"/>
                        <w:szCs w:val="20"/>
                      </w:rPr>
                      <w:t>Trabajamos por el desarrollo de la administración de justicia con proyección e innovación</w:t>
                    </w:r>
                  </w:p>
                  <w:p w14:paraId="4609B8E0" w14:textId="77777777" w:rsidR="00327CAF" w:rsidRPr="000C133C" w:rsidRDefault="00075FBD" w:rsidP="00327CAF">
                    <w:pPr>
                      <w:rPr>
                        <w:rFonts w:ascii="Segoe UI" w:hAnsi="Segoe UI" w:cs="Segoe UI"/>
                        <w:color w:val="FFFFFF" w:themeColor="background1"/>
                        <w:sz w:val="20"/>
                        <w:szCs w:val="20"/>
                      </w:rPr>
                    </w:pPr>
                  </w:p>
                </w:txbxContent>
              </v:textbox>
              <w10:wrap anchorx="margin" anchory="page"/>
            </v:shape>
          </w:pict>
        </mc:Fallback>
      </mc:AlternateContent>
    </w:r>
    <w:r w:rsidRPr="006220F2">
      <w:rPr>
        <w:noProof/>
        <w:sz w:val="20"/>
        <w:szCs w:val="20"/>
      </w:rPr>
      <w:drawing>
        <wp:anchor distT="0" distB="0" distL="114300" distR="114300" simplePos="0" relativeHeight="251661312" behindDoc="1" locked="0" layoutInCell="1" allowOverlap="1" wp14:anchorId="4B64F85D" wp14:editId="7B98E119">
          <wp:simplePos x="0" y="0"/>
          <wp:positionH relativeFrom="page">
            <wp:posOffset>0</wp:posOffset>
          </wp:positionH>
          <wp:positionV relativeFrom="paragraph">
            <wp:posOffset>-63661</wp:posOffset>
          </wp:positionV>
          <wp:extent cx="8395251" cy="313899"/>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8395251" cy="3138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20F2">
      <w:rPr>
        <w:rFonts w:ascii="Segoe UI" w:hAnsi="Segoe UI" w:cs="Segoe UI"/>
        <w:b/>
        <w:bCs/>
        <w:color w:val="FFFFFF" w:themeColor="background1"/>
        <w:sz w:val="20"/>
        <w:szCs w:val="20"/>
        <w:lang w:val="es-ES"/>
      </w:rPr>
      <w:t xml:space="preserve">pág. </w:t>
    </w:r>
    <w:r w:rsidRPr="006220F2">
      <w:rPr>
        <w:rFonts w:ascii="Segoe UI" w:hAnsi="Segoe UI" w:cs="Segoe UI"/>
        <w:b/>
        <w:bCs/>
        <w:color w:val="FFFFFF" w:themeColor="background1"/>
        <w:sz w:val="20"/>
        <w:szCs w:val="20"/>
      </w:rPr>
      <w:fldChar w:fldCharType="begin"/>
    </w:r>
    <w:r w:rsidRPr="006220F2">
      <w:rPr>
        <w:rFonts w:ascii="Segoe UI" w:hAnsi="Segoe UI" w:cs="Segoe UI"/>
        <w:b/>
        <w:bCs/>
        <w:color w:val="FFFFFF" w:themeColor="background1"/>
        <w:sz w:val="20"/>
        <w:szCs w:val="20"/>
      </w:rPr>
      <w:instrText>PAGE  \* Arabic</w:instrText>
    </w:r>
    <w:r w:rsidRPr="006220F2">
      <w:rPr>
        <w:rFonts w:ascii="Segoe UI" w:hAnsi="Segoe UI" w:cs="Segoe UI"/>
        <w:b/>
        <w:bCs/>
        <w:color w:val="FFFFFF" w:themeColor="background1"/>
        <w:sz w:val="20"/>
        <w:szCs w:val="20"/>
      </w:rPr>
      <w:fldChar w:fldCharType="separate"/>
    </w:r>
    <w:r w:rsidRPr="006220F2">
      <w:rPr>
        <w:rFonts w:ascii="Segoe UI" w:hAnsi="Segoe UI" w:cs="Segoe UI"/>
        <w:b/>
        <w:bCs/>
        <w:color w:val="FFFFFF" w:themeColor="background1"/>
        <w:sz w:val="20"/>
        <w:szCs w:val="20"/>
        <w:lang w:val="es-ES"/>
      </w:rPr>
      <w:t>1</w:t>
    </w:r>
    <w:r w:rsidRPr="006220F2">
      <w:rPr>
        <w:rFonts w:ascii="Segoe UI" w:hAnsi="Segoe UI" w:cs="Segoe UI"/>
        <w:b/>
        <w:bCs/>
        <w:color w:val="FFFFFF" w:themeColor="background1"/>
        <w:sz w:val="20"/>
        <w:szCs w:val="20"/>
      </w:rPr>
      <w:fldChar w:fldCharType="end"/>
    </w:r>
  </w:p>
  <w:p w14:paraId="49664D70" w14:textId="77777777" w:rsidR="00022F7A" w:rsidRDefault="00075FBD" w:rsidP="008935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19A6A" w14:textId="77777777" w:rsidR="00075FBD" w:rsidRDefault="00075FBD">
      <w:pPr>
        <w:spacing w:before="0" w:after="0" w:line="240" w:lineRule="auto"/>
      </w:pPr>
      <w:r>
        <w:separator/>
      </w:r>
    </w:p>
  </w:footnote>
  <w:footnote w:type="continuationSeparator" w:id="0">
    <w:p w14:paraId="5A3F2F47" w14:textId="77777777" w:rsidR="00075FBD" w:rsidRDefault="00075FBD">
      <w:pPr>
        <w:spacing w:before="0" w:after="0" w:line="240" w:lineRule="auto"/>
      </w:pPr>
      <w:r>
        <w:continuationSeparator/>
      </w:r>
    </w:p>
  </w:footnote>
  <w:footnote w:id="1">
    <w:p w14:paraId="3C8D34B4" w14:textId="77777777" w:rsidR="00196ACE" w:rsidRPr="00AF18A0" w:rsidRDefault="00196ACE" w:rsidP="00196ACE">
      <w:pPr>
        <w:pStyle w:val="Textonotapie"/>
        <w:jc w:val="both"/>
        <w:rPr>
          <w:rFonts w:ascii="Cambria" w:hAnsi="Cambria"/>
          <w:color w:val="262626"/>
          <w:sz w:val="18"/>
          <w:szCs w:val="18"/>
        </w:rPr>
      </w:pPr>
      <w:r w:rsidRPr="00AF18A0">
        <w:rPr>
          <w:rStyle w:val="Refdenotaalpie"/>
          <w:rFonts w:ascii="Cambria" w:hAnsi="Cambria"/>
          <w:color w:val="262626"/>
          <w:sz w:val="18"/>
          <w:szCs w:val="18"/>
        </w:rPr>
        <w:footnoteRef/>
      </w:r>
      <w:r w:rsidRPr="00AF18A0">
        <w:rPr>
          <w:rFonts w:ascii="Cambria" w:hAnsi="Cambria"/>
          <w:color w:val="262626"/>
          <w:sz w:val="18"/>
          <w:szCs w:val="18"/>
        </w:rPr>
        <w:t xml:space="preserve"> La tasa de congestión mide el nivel de saturación o retraso que tienen las oficinas judiciales y su cálculo se obtiene al dividir la carga de trabajo entre el número de casos terminados en un período definido.  </w:t>
      </w:r>
    </w:p>
  </w:footnote>
  <w:footnote w:id="2">
    <w:p w14:paraId="102BBFC7" w14:textId="77777777" w:rsidR="00196ACE" w:rsidRPr="00AF18A0" w:rsidRDefault="00196ACE" w:rsidP="00196ACE">
      <w:pPr>
        <w:pStyle w:val="Textonotapie"/>
        <w:jc w:val="both"/>
        <w:rPr>
          <w:rFonts w:ascii="Cambria" w:hAnsi="Cambria"/>
          <w:color w:val="262626"/>
          <w:sz w:val="18"/>
          <w:szCs w:val="18"/>
        </w:rPr>
      </w:pPr>
      <w:r w:rsidRPr="00AF18A0">
        <w:rPr>
          <w:rStyle w:val="Refdenotaalpie"/>
          <w:rFonts w:ascii="Cambria" w:hAnsi="Cambria"/>
          <w:color w:val="262626"/>
          <w:sz w:val="18"/>
          <w:szCs w:val="18"/>
        </w:rPr>
        <w:footnoteRef/>
      </w:r>
      <w:r w:rsidRPr="00AF18A0">
        <w:rPr>
          <w:rFonts w:ascii="Cambria" w:hAnsi="Cambria"/>
          <w:color w:val="262626"/>
          <w:sz w:val="18"/>
          <w:szCs w:val="18"/>
        </w:rPr>
        <w:t xml:space="preserve"> La tasa de pendencia se calcula al dividir la cantidad de asuntos pendientes entre la carga de trabajo, mientras que la tasa de resolución se produce del cociente de los asuntos resueltos respecto a la carga de trabajo. Es atinente especificar que ambos resultados se deben multiplicar por 100 al tratarse de porcentajes.</w:t>
      </w:r>
    </w:p>
  </w:footnote>
  <w:footnote w:id="3">
    <w:p w14:paraId="7968EC5D" w14:textId="77777777" w:rsidR="00196ACE" w:rsidRPr="00727D97" w:rsidRDefault="00196ACE" w:rsidP="00196ACE">
      <w:pPr>
        <w:pStyle w:val="Textonotapie"/>
        <w:jc w:val="both"/>
        <w:rPr>
          <w:rFonts w:ascii="Cambria" w:hAnsi="Cambria"/>
          <w:sz w:val="18"/>
          <w:szCs w:val="18"/>
        </w:rPr>
      </w:pPr>
      <w:r w:rsidRPr="00AF18A0">
        <w:rPr>
          <w:rStyle w:val="Refdenotaalpie"/>
          <w:rFonts w:ascii="Cambria" w:hAnsi="Cambria"/>
          <w:color w:val="262626"/>
          <w:sz w:val="18"/>
          <w:szCs w:val="18"/>
        </w:rPr>
        <w:footnoteRef/>
      </w:r>
      <w:r w:rsidRPr="00AF18A0">
        <w:rPr>
          <w:rFonts w:ascii="Cambria" w:hAnsi="Cambria"/>
          <w:color w:val="262626"/>
          <w:sz w:val="18"/>
          <w:szCs w:val="18"/>
        </w:rPr>
        <w:t>La tasa de resolución se calcula al dividir el número de procesos terminados entre la carga de trabajo, multiplicado por 100, al ser su resultado un porcentaje.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1027E" w14:textId="616147F3" w:rsidR="002C6662" w:rsidRDefault="002C66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BC601" w14:textId="6C120FCA" w:rsidR="00022F7A" w:rsidRDefault="00906055" w:rsidP="00022F7A">
    <w:pPr>
      <w:pStyle w:val="Encabezado"/>
      <w:jc w:val="center"/>
      <w:rPr>
        <w:rFonts w:ascii="Segoe UI" w:hAnsi="Segoe UI" w:cs="Segoe UI"/>
        <w:color w:val="404040" w:themeColor="text1" w:themeTint="BF"/>
        <w:sz w:val="20"/>
        <w:szCs w:val="20"/>
      </w:rPr>
    </w:pPr>
    <w:r w:rsidRPr="00126F6B">
      <w:rPr>
        <w:rFonts w:ascii="Segoe UI" w:hAnsi="Segoe UI" w:cs="Segoe UI"/>
        <w:color w:val="404040" w:themeColor="text1" w:themeTint="BF"/>
        <w:sz w:val="20"/>
        <w:szCs w:val="20"/>
      </w:rPr>
      <w:t>Poder Judicial – Dirección de Planificación</w:t>
    </w:r>
  </w:p>
  <w:p w14:paraId="48C7FF96" w14:textId="77777777" w:rsidR="00022F7A" w:rsidRDefault="00906055" w:rsidP="00022F7A">
    <w:pPr>
      <w:pStyle w:val="Encabezado"/>
      <w:jc w:val="center"/>
      <w:rPr>
        <w:rFonts w:ascii="Segoe UI" w:hAnsi="Segoe UI" w:cs="Segoe UI"/>
        <w:color w:val="404040" w:themeColor="text1" w:themeTint="BF"/>
        <w:sz w:val="20"/>
        <w:szCs w:val="20"/>
      </w:rPr>
    </w:pPr>
    <w:r>
      <w:rPr>
        <w:rFonts w:ascii="Segoe UI" w:hAnsi="Segoe UI" w:cs="Segoe UI"/>
        <w:color w:val="404040" w:themeColor="text1" w:themeTint="BF"/>
        <w:sz w:val="20"/>
        <w:szCs w:val="20"/>
      </w:rPr>
      <w:t>San José – Costa Rica</w:t>
    </w:r>
  </w:p>
  <w:p w14:paraId="3BA4F48F" w14:textId="77777777" w:rsidR="00022F7A" w:rsidRDefault="00906055" w:rsidP="00022F7A">
    <w:pPr>
      <w:pStyle w:val="Encabezado"/>
      <w:jc w:val="center"/>
      <w:rPr>
        <w:rFonts w:ascii="Segoe UI" w:hAnsi="Segoe UI" w:cs="Segoe UI"/>
        <w:color w:val="404040" w:themeColor="text1" w:themeTint="BF"/>
        <w:sz w:val="20"/>
        <w:szCs w:val="20"/>
      </w:rPr>
    </w:pPr>
    <w:r>
      <w:rPr>
        <w:rFonts w:ascii="Segoe UI" w:hAnsi="Segoe UI" w:cs="Segoe UI"/>
        <w:color w:val="404040" w:themeColor="text1" w:themeTint="BF"/>
        <w:sz w:val="20"/>
        <w:szCs w:val="20"/>
      </w:rPr>
      <w:t>Tel. 2295-3600 / Apdo. 95-1003 / planificación@poder-judicial.go.cr</w:t>
    </w:r>
  </w:p>
  <w:p w14:paraId="4246EE56" w14:textId="77777777" w:rsidR="00022F7A" w:rsidRDefault="00906055" w:rsidP="00390EC8">
    <w:pPr>
      <w:pStyle w:val="Encabezado"/>
      <w:tabs>
        <w:tab w:val="clear" w:pos="4680"/>
        <w:tab w:val="clear" w:pos="9360"/>
        <w:tab w:val="left" w:pos="6603"/>
        <w:tab w:val="left" w:pos="7422"/>
      </w:tabs>
    </w:pPr>
    <w:r>
      <w:rPr>
        <w:noProof/>
      </w:rPr>
      <mc:AlternateContent>
        <mc:Choice Requires="wps">
          <w:drawing>
            <wp:anchor distT="0" distB="0" distL="114300" distR="114300" simplePos="0" relativeHeight="251659264" behindDoc="0" locked="0" layoutInCell="1" allowOverlap="1" wp14:anchorId="790D79D4" wp14:editId="1507B43A">
              <wp:simplePos x="0" y="0"/>
              <wp:positionH relativeFrom="column">
                <wp:posOffset>984738</wp:posOffset>
              </wp:positionH>
              <wp:positionV relativeFrom="page">
                <wp:posOffset>773723</wp:posOffset>
              </wp:positionV>
              <wp:extent cx="3964075"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3964075" cy="0"/>
                      </a:xfrm>
                      <a:prstGeom prst="line">
                        <a:avLst/>
                      </a:prstGeom>
                      <a:ln>
                        <a:solidFill>
                          <a:srgbClr val="1E9BD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A208F0" id="Conector recto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77.55pt,60.9pt" to="389.7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" strokecolor="#1e9bd7" strokeweight=".5pt">
              <v:stroke joinstyle="miter"/>
              <w10:wrap anchory="page"/>
            </v:line>
          </w:pict>
        </mc:Fallback>
      </mc:AlternateConten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9928E" w14:textId="41CC9AF4" w:rsidR="002C6662" w:rsidRDefault="002C66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856C0"/>
    <w:multiLevelType w:val="hybridMultilevel"/>
    <w:tmpl w:val="D28A8712"/>
    <w:lvl w:ilvl="0" w:tplc="48FAF3A2">
      <w:start w:val="1"/>
      <w:numFmt w:val="decimal"/>
      <w:lvlText w:val="%1."/>
      <w:lvlJc w:val="left"/>
      <w:pPr>
        <w:ind w:left="720" w:hanging="360"/>
      </w:pPr>
      <w:rPr>
        <w:rFonts w:hint="default"/>
        <w:color w:val="262626" w:themeColor="text1" w:themeTint="D9"/>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2D94373"/>
    <w:multiLevelType w:val="multilevel"/>
    <w:tmpl w:val="F140AD2A"/>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cs="Times New Roman" w:hint="default"/>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9A7ECB"/>
    <w:multiLevelType w:val="hybridMultilevel"/>
    <w:tmpl w:val="2736A2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D5B570F"/>
    <w:multiLevelType w:val="hybridMultilevel"/>
    <w:tmpl w:val="69EA8C7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9A303D"/>
    <w:multiLevelType w:val="hybridMultilevel"/>
    <w:tmpl w:val="2006FA1A"/>
    <w:lvl w:ilvl="0" w:tplc="4E78B824">
      <w:start w:val="1"/>
      <w:numFmt w:val="bullet"/>
      <w:lvlText w:val=""/>
      <w:lvlJc w:val="left"/>
      <w:pPr>
        <w:ind w:left="720" w:hanging="360"/>
      </w:pPr>
      <w:rPr>
        <w:rFonts w:ascii="Symbol" w:hAnsi="Symbol" w:hint="default"/>
        <w:color w:val="1E9BD7"/>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3DC4E4A"/>
    <w:multiLevelType w:val="hybridMultilevel"/>
    <w:tmpl w:val="A1D27E24"/>
    <w:lvl w:ilvl="0" w:tplc="BFD27A36">
      <w:start w:val="1"/>
      <w:numFmt w:val="bullet"/>
      <w:lvlText w:val=""/>
      <w:lvlJc w:val="left"/>
      <w:pPr>
        <w:ind w:left="720" w:hanging="360"/>
      </w:pPr>
      <w:rPr>
        <w:rFonts w:ascii="Symbol" w:hAnsi="Symbol" w:hint="default"/>
        <w:color w:val="1E9BD7"/>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AD543D2"/>
    <w:multiLevelType w:val="hybridMultilevel"/>
    <w:tmpl w:val="96AAA2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0111AB9"/>
    <w:multiLevelType w:val="hybridMultilevel"/>
    <w:tmpl w:val="DD00CC4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A597E51"/>
    <w:multiLevelType w:val="hybridMultilevel"/>
    <w:tmpl w:val="4B18651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F836CD1"/>
    <w:multiLevelType w:val="hybridMultilevel"/>
    <w:tmpl w:val="BA26C3C6"/>
    <w:lvl w:ilvl="0" w:tplc="65C6F7DE">
      <w:numFmt w:val="bullet"/>
      <w:lvlText w:val=""/>
      <w:lvlJc w:val="left"/>
      <w:pPr>
        <w:ind w:left="720" w:hanging="360"/>
      </w:pPr>
      <w:rPr>
        <w:rFonts w:ascii="Symbol" w:eastAsiaTheme="minorHAnsi" w:hAnsi="Symbol"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CE42CE9"/>
    <w:multiLevelType w:val="hybridMultilevel"/>
    <w:tmpl w:val="6308B804"/>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1" w15:restartNumberingAfterBreak="0">
    <w:nsid w:val="77F3730C"/>
    <w:multiLevelType w:val="hybridMultilevel"/>
    <w:tmpl w:val="CB063F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C1B5FEA"/>
    <w:multiLevelType w:val="hybridMultilevel"/>
    <w:tmpl w:val="3DB23656"/>
    <w:lvl w:ilvl="0" w:tplc="580A000F">
      <w:start w:val="1"/>
      <w:numFmt w:val="decimal"/>
      <w:lvlText w:val="%1."/>
      <w:lvlJc w:val="left"/>
      <w:pPr>
        <w:ind w:left="2190" w:hanging="360"/>
      </w:pPr>
    </w:lvl>
    <w:lvl w:ilvl="1" w:tplc="580A0019" w:tentative="1">
      <w:start w:val="1"/>
      <w:numFmt w:val="lowerLetter"/>
      <w:lvlText w:val="%2."/>
      <w:lvlJc w:val="left"/>
      <w:pPr>
        <w:ind w:left="2910" w:hanging="360"/>
      </w:pPr>
    </w:lvl>
    <w:lvl w:ilvl="2" w:tplc="580A001B" w:tentative="1">
      <w:start w:val="1"/>
      <w:numFmt w:val="lowerRoman"/>
      <w:lvlText w:val="%3."/>
      <w:lvlJc w:val="right"/>
      <w:pPr>
        <w:ind w:left="3630" w:hanging="180"/>
      </w:pPr>
    </w:lvl>
    <w:lvl w:ilvl="3" w:tplc="580A000F" w:tentative="1">
      <w:start w:val="1"/>
      <w:numFmt w:val="decimal"/>
      <w:lvlText w:val="%4."/>
      <w:lvlJc w:val="left"/>
      <w:pPr>
        <w:ind w:left="4350" w:hanging="360"/>
      </w:pPr>
    </w:lvl>
    <w:lvl w:ilvl="4" w:tplc="580A0019" w:tentative="1">
      <w:start w:val="1"/>
      <w:numFmt w:val="lowerLetter"/>
      <w:lvlText w:val="%5."/>
      <w:lvlJc w:val="left"/>
      <w:pPr>
        <w:ind w:left="5070" w:hanging="360"/>
      </w:pPr>
    </w:lvl>
    <w:lvl w:ilvl="5" w:tplc="580A001B" w:tentative="1">
      <w:start w:val="1"/>
      <w:numFmt w:val="lowerRoman"/>
      <w:lvlText w:val="%6."/>
      <w:lvlJc w:val="right"/>
      <w:pPr>
        <w:ind w:left="5790" w:hanging="180"/>
      </w:pPr>
    </w:lvl>
    <w:lvl w:ilvl="6" w:tplc="580A000F" w:tentative="1">
      <w:start w:val="1"/>
      <w:numFmt w:val="decimal"/>
      <w:lvlText w:val="%7."/>
      <w:lvlJc w:val="left"/>
      <w:pPr>
        <w:ind w:left="6510" w:hanging="360"/>
      </w:pPr>
    </w:lvl>
    <w:lvl w:ilvl="7" w:tplc="580A0019" w:tentative="1">
      <w:start w:val="1"/>
      <w:numFmt w:val="lowerLetter"/>
      <w:lvlText w:val="%8."/>
      <w:lvlJc w:val="left"/>
      <w:pPr>
        <w:ind w:left="7230" w:hanging="360"/>
      </w:pPr>
    </w:lvl>
    <w:lvl w:ilvl="8" w:tplc="580A001B" w:tentative="1">
      <w:start w:val="1"/>
      <w:numFmt w:val="lowerRoman"/>
      <w:lvlText w:val="%9."/>
      <w:lvlJc w:val="right"/>
      <w:pPr>
        <w:ind w:left="7950" w:hanging="180"/>
      </w:pPr>
    </w:lvl>
  </w:abstractNum>
  <w:abstractNum w:abstractNumId="13" w15:restartNumberingAfterBreak="0">
    <w:nsid w:val="7CD84584"/>
    <w:multiLevelType w:val="hybridMultilevel"/>
    <w:tmpl w:val="69EA8C74"/>
    <w:lvl w:ilvl="0" w:tplc="B0A07736">
      <w:start w:val="1"/>
      <w:numFmt w:val="decimal"/>
      <w:lvlText w:val="%1."/>
      <w:lvlJc w:val="left"/>
      <w:pPr>
        <w:ind w:left="720" w:hanging="360"/>
      </w:pPr>
      <w:rPr>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10"/>
  </w:num>
  <w:num w:numId="5">
    <w:abstractNumId w:val="4"/>
  </w:num>
  <w:num w:numId="6">
    <w:abstractNumId w:val="13"/>
  </w:num>
  <w:num w:numId="7">
    <w:abstractNumId w:val="3"/>
  </w:num>
  <w:num w:numId="8">
    <w:abstractNumId w:val="8"/>
  </w:num>
  <w:num w:numId="9">
    <w:abstractNumId w:val="1"/>
  </w:num>
  <w:num w:numId="10">
    <w:abstractNumId w:val="12"/>
  </w:num>
  <w:num w:numId="11">
    <w:abstractNumId w:val="7"/>
  </w:num>
  <w:num w:numId="12">
    <w:abstractNumId w:val="11"/>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49"/>
    <w:rsid w:val="00023745"/>
    <w:rsid w:val="00054369"/>
    <w:rsid w:val="000639E0"/>
    <w:rsid w:val="00075FBD"/>
    <w:rsid w:val="000A165E"/>
    <w:rsid w:val="000C0AED"/>
    <w:rsid w:val="000D13FA"/>
    <w:rsid w:val="0010694D"/>
    <w:rsid w:val="001768E1"/>
    <w:rsid w:val="00196ACE"/>
    <w:rsid w:val="001A6DF4"/>
    <w:rsid w:val="001F6D7C"/>
    <w:rsid w:val="002538F9"/>
    <w:rsid w:val="002651C7"/>
    <w:rsid w:val="00293CD5"/>
    <w:rsid w:val="002C6662"/>
    <w:rsid w:val="002F66D6"/>
    <w:rsid w:val="003052D8"/>
    <w:rsid w:val="00382742"/>
    <w:rsid w:val="003B0AAC"/>
    <w:rsid w:val="003C3054"/>
    <w:rsid w:val="003C652D"/>
    <w:rsid w:val="003D5E4E"/>
    <w:rsid w:val="003F5B76"/>
    <w:rsid w:val="004251AB"/>
    <w:rsid w:val="004322C2"/>
    <w:rsid w:val="004D1FF2"/>
    <w:rsid w:val="004F75E2"/>
    <w:rsid w:val="00550234"/>
    <w:rsid w:val="00555F73"/>
    <w:rsid w:val="00561B49"/>
    <w:rsid w:val="005B774F"/>
    <w:rsid w:val="005E0BCC"/>
    <w:rsid w:val="00644FAF"/>
    <w:rsid w:val="006B3469"/>
    <w:rsid w:val="00711A86"/>
    <w:rsid w:val="00735101"/>
    <w:rsid w:val="00735B28"/>
    <w:rsid w:val="00740999"/>
    <w:rsid w:val="00756F8E"/>
    <w:rsid w:val="0078442C"/>
    <w:rsid w:val="00795EF5"/>
    <w:rsid w:val="007B3B4E"/>
    <w:rsid w:val="007C586B"/>
    <w:rsid w:val="00803925"/>
    <w:rsid w:val="008071DA"/>
    <w:rsid w:val="008146D4"/>
    <w:rsid w:val="00855251"/>
    <w:rsid w:val="00906055"/>
    <w:rsid w:val="00946CD6"/>
    <w:rsid w:val="00983D2B"/>
    <w:rsid w:val="009857E3"/>
    <w:rsid w:val="009E48B2"/>
    <w:rsid w:val="00A430F4"/>
    <w:rsid w:val="00AE0B8D"/>
    <w:rsid w:val="00B11673"/>
    <w:rsid w:val="00B81A46"/>
    <w:rsid w:val="00B87C89"/>
    <w:rsid w:val="00BB7469"/>
    <w:rsid w:val="00BD789F"/>
    <w:rsid w:val="00BE5546"/>
    <w:rsid w:val="00BF4478"/>
    <w:rsid w:val="00C04F3E"/>
    <w:rsid w:val="00C26587"/>
    <w:rsid w:val="00C37E75"/>
    <w:rsid w:val="00C85C17"/>
    <w:rsid w:val="00CC77F2"/>
    <w:rsid w:val="00D32324"/>
    <w:rsid w:val="00D445E4"/>
    <w:rsid w:val="00D5343D"/>
    <w:rsid w:val="00D561C9"/>
    <w:rsid w:val="00D6735A"/>
    <w:rsid w:val="00E979A0"/>
    <w:rsid w:val="00F34B57"/>
    <w:rsid w:val="00F63916"/>
    <w:rsid w:val="00FD40FF"/>
    <w:rsid w:val="00FE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D39A9"/>
  <w15:chartTrackingRefBased/>
  <w15:docId w15:val="{0FED3B33-1093-4EDA-A12D-9ECBDB21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B49"/>
    <w:pPr>
      <w:spacing w:before="120" w:after="120" w:line="360" w:lineRule="auto"/>
      <w:jc w:val="both"/>
    </w:pPr>
    <w:rPr>
      <w:rFonts w:ascii="Times New Roman" w:hAnsi="Times New Roman"/>
      <w:sz w:val="24"/>
      <w:lang w:val="es-CR"/>
    </w:rPr>
  </w:style>
  <w:style w:type="paragraph" w:styleId="Ttulo1">
    <w:name w:val="heading 1"/>
    <w:basedOn w:val="Normal"/>
    <w:next w:val="Normal"/>
    <w:link w:val="Ttulo1Car"/>
    <w:uiPriority w:val="9"/>
    <w:qFormat/>
    <w:rsid w:val="00561B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61B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1B49"/>
    <w:rPr>
      <w:rFonts w:asciiTheme="majorHAnsi" w:eastAsiaTheme="majorEastAsia" w:hAnsiTheme="majorHAnsi" w:cstheme="majorBidi"/>
      <w:color w:val="2F5496" w:themeColor="accent1" w:themeShade="BF"/>
      <w:sz w:val="32"/>
      <w:szCs w:val="32"/>
      <w:lang w:val="es-CR"/>
    </w:rPr>
  </w:style>
  <w:style w:type="character" w:customStyle="1" w:styleId="Ttulo2Car">
    <w:name w:val="Título 2 Car"/>
    <w:basedOn w:val="Fuentedeprrafopredeter"/>
    <w:link w:val="Ttulo2"/>
    <w:uiPriority w:val="9"/>
    <w:rsid w:val="00561B49"/>
    <w:rPr>
      <w:rFonts w:asciiTheme="majorHAnsi" w:eastAsiaTheme="majorEastAsia" w:hAnsiTheme="majorHAnsi" w:cstheme="majorBidi"/>
      <w:color w:val="2F5496" w:themeColor="accent1" w:themeShade="BF"/>
      <w:sz w:val="26"/>
      <w:szCs w:val="26"/>
      <w:lang w:val="es-CR"/>
    </w:rPr>
  </w:style>
  <w:style w:type="paragraph" w:styleId="Encabezado">
    <w:name w:val="header"/>
    <w:basedOn w:val="Normal"/>
    <w:link w:val="EncabezadoCar"/>
    <w:uiPriority w:val="99"/>
    <w:unhideWhenUsed/>
    <w:rsid w:val="00561B49"/>
    <w:pPr>
      <w:tabs>
        <w:tab w:val="center" w:pos="4680"/>
        <w:tab w:val="right" w:pos="9360"/>
      </w:tabs>
      <w:spacing w:before="0" w:after="0" w:line="240" w:lineRule="auto"/>
      <w:jc w:val="left"/>
    </w:pPr>
    <w:rPr>
      <w:rFonts w:asciiTheme="minorHAnsi" w:hAnsiTheme="minorHAnsi"/>
      <w:sz w:val="22"/>
    </w:rPr>
  </w:style>
  <w:style w:type="character" w:customStyle="1" w:styleId="EncabezadoCar">
    <w:name w:val="Encabezado Car"/>
    <w:basedOn w:val="Fuentedeprrafopredeter"/>
    <w:link w:val="Encabezado"/>
    <w:uiPriority w:val="99"/>
    <w:rsid w:val="00561B49"/>
    <w:rPr>
      <w:lang w:val="es-CR"/>
    </w:rPr>
  </w:style>
  <w:style w:type="paragraph" w:styleId="Piedepgina">
    <w:name w:val="footer"/>
    <w:basedOn w:val="Normal"/>
    <w:link w:val="PiedepginaCar"/>
    <w:uiPriority w:val="99"/>
    <w:unhideWhenUsed/>
    <w:rsid w:val="00561B49"/>
    <w:pPr>
      <w:tabs>
        <w:tab w:val="center" w:pos="4680"/>
        <w:tab w:val="right" w:pos="9360"/>
      </w:tabs>
      <w:spacing w:before="0" w:after="0" w:line="240" w:lineRule="auto"/>
      <w:jc w:val="left"/>
    </w:pPr>
    <w:rPr>
      <w:rFonts w:asciiTheme="minorHAnsi" w:hAnsiTheme="minorHAnsi"/>
      <w:sz w:val="22"/>
    </w:rPr>
  </w:style>
  <w:style w:type="character" w:customStyle="1" w:styleId="PiedepginaCar">
    <w:name w:val="Pie de página Car"/>
    <w:basedOn w:val="Fuentedeprrafopredeter"/>
    <w:link w:val="Piedepgina"/>
    <w:uiPriority w:val="99"/>
    <w:rsid w:val="00561B49"/>
    <w:rPr>
      <w:lang w:val="es-CR"/>
    </w:rPr>
  </w:style>
  <w:style w:type="table" w:styleId="Tablaconcuadrcula">
    <w:name w:val="Table Grid"/>
    <w:basedOn w:val="Tablanormal"/>
    <w:uiPriority w:val="39"/>
    <w:rsid w:val="00561B49"/>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61B49"/>
    <w:pPr>
      <w:spacing w:line="259" w:lineRule="auto"/>
      <w:jc w:val="left"/>
      <w:outlineLvl w:val="9"/>
    </w:pPr>
    <w:rPr>
      <w:lang w:eastAsia="es-CR"/>
    </w:rPr>
  </w:style>
  <w:style w:type="paragraph" w:styleId="Descripcin">
    <w:name w:val="caption"/>
    <w:basedOn w:val="Normal"/>
    <w:next w:val="Normal"/>
    <w:unhideWhenUsed/>
    <w:qFormat/>
    <w:rsid w:val="00561B49"/>
    <w:pPr>
      <w:spacing w:line="240" w:lineRule="auto"/>
      <w:jc w:val="center"/>
    </w:pPr>
    <w:rPr>
      <w:b/>
      <w:iCs/>
      <w:sz w:val="20"/>
      <w:szCs w:val="18"/>
    </w:rPr>
  </w:style>
  <w:style w:type="character" w:customStyle="1" w:styleId="FUENTESCar">
    <w:name w:val="FUENTES Car"/>
    <w:basedOn w:val="Fuentedeprrafopredeter"/>
    <w:link w:val="FUENTES"/>
    <w:locked/>
    <w:rsid w:val="00561B49"/>
    <w:rPr>
      <w:rFonts w:ascii="Times New Roman" w:hAnsi="Times New Roman"/>
      <w:b/>
      <w:bCs/>
      <w:sz w:val="20"/>
    </w:rPr>
  </w:style>
  <w:style w:type="paragraph" w:customStyle="1" w:styleId="FUENTES">
    <w:name w:val="FUENTES"/>
    <w:basedOn w:val="Normal"/>
    <w:link w:val="FUENTESCar"/>
    <w:qFormat/>
    <w:rsid w:val="00561B49"/>
    <w:pPr>
      <w:spacing w:line="240" w:lineRule="auto"/>
    </w:pPr>
    <w:rPr>
      <w:b/>
      <w:bCs/>
      <w:sz w:val="20"/>
      <w:lang w:val="en-US"/>
    </w:rPr>
  </w:style>
  <w:style w:type="paragraph" w:styleId="TDC1">
    <w:name w:val="toc 1"/>
    <w:basedOn w:val="Normal"/>
    <w:next w:val="Normal"/>
    <w:autoRedefine/>
    <w:uiPriority w:val="39"/>
    <w:unhideWhenUsed/>
    <w:rsid w:val="00561B49"/>
    <w:pPr>
      <w:tabs>
        <w:tab w:val="right" w:leader="dot" w:pos="9350"/>
      </w:tabs>
      <w:spacing w:after="100"/>
    </w:pPr>
  </w:style>
  <w:style w:type="character" w:styleId="Hipervnculo">
    <w:name w:val="Hyperlink"/>
    <w:basedOn w:val="Fuentedeprrafopredeter"/>
    <w:uiPriority w:val="99"/>
    <w:unhideWhenUsed/>
    <w:rsid w:val="00561B49"/>
    <w:rPr>
      <w:color w:val="0563C1" w:themeColor="hyperlink"/>
      <w:u w:val="single"/>
    </w:rPr>
  </w:style>
  <w:style w:type="paragraph" w:styleId="TDC2">
    <w:name w:val="toc 2"/>
    <w:basedOn w:val="Normal"/>
    <w:next w:val="Normal"/>
    <w:autoRedefine/>
    <w:uiPriority w:val="39"/>
    <w:unhideWhenUsed/>
    <w:rsid w:val="00561B49"/>
    <w:pPr>
      <w:spacing w:after="100"/>
      <w:ind w:left="240"/>
    </w:pPr>
  </w:style>
  <w:style w:type="paragraph" w:styleId="Prrafodelista">
    <w:name w:val="List Paragraph"/>
    <w:aliases w:val="Lista vistosa - Énfasis 11,Bullet 1,Use Case List Paragraph,Párrafo de lista Car Car Car,Lista multicolor - Énfasis 11,Segundo nivel de viñetas,Bullet List,numbered,FooterText,Titulo 1,lp1,Paragraphe de liste1,列出段落,Informe,VIÑETA,Dot pt"/>
    <w:basedOn w:val="Normal"/>
    <w:link w:val="PrrafodelistaCar"/>
    <w:uiPriority w:val="34"/>
    <w:qFormat/>
    <w:rsid w:val="00561B49"/>
    <w:pPr>
      <w:spacing w:line="276" w:lineRule="auto"/>
      <w:ind w:left="720"/>
      <w:contextualSpacing/>
    </w:pPr>
  </w:style>
  <w:style w:type="character" w:customStyle="1" w:styleId="PrrafodelistaCar">
    <w:name w:val="Párrafo de lista Car"/>
    <w:aliases w:val="Lista vistosa - Énfasis 11 Car,Bullet 1 Car,Use Case List Paragraph Car,Párrafo de lista Car Car Car Car,Lista multicolor - Énfasis 11 Car,Segundo nivel de viñetas Car,Bullet List Car,numbered Car,FooterText Car,Titulo 1 Car,lp1 Car"/>
    <w:link w:val="Prrafodelista"/>
    <w:uiPriority w:val="34"/>
    <w:qFormat/>
    <w:locked/>
    <w:rsid w:val="00561B49"/>
    <w:rPr>
      <w:rFonts w:ascii="Times New Roman" w:hAnsi="Times New Roman"/>
      <w:sz w:val="24"/>
      <w:lang w:val="es-CR"/>
    </w:rPr>
  </w:style>
  <w:style w:type="paragraph" w:styleId="Textonotapie">
    <w:name w:val="footnote text"/>
    <w:basedOn w:val="Normal"/>
    <w:link w:val="TextonotapieCar"/>
    <w:uiPriority w:val="99"/>
    <w:semiHidden/>
    <w:rsid w:val="00561B49"/>
    <w:pPr>
      <w:widowControl w:val="0"/>
      <w:autoSpaceDE w:val="0"/>
      <w:autoSpaceDN w:val="0"/>
      <w:adjustRightInd w:val="0"/>
      <w:spacing w:before="0" w:after="0" w:line="240" w:lineRule="auto"/>
      <w:jc w:val="left"/>
    </w:pPr>
    <w:rPr>
      <w:rFonts w:ascii="Arial" w:eastAsia="Times New Roman" w:hAnsi="Arial" w:cs="Arial"/>
      <w:sz w:val="20"/>
      <w:szCs w:val="20"/>
      <w:lang w:val="es-ES" w:eastAsia="es-ES"/>
    </w:rPr>
  </w:style>
  <w:style w:type="character" w:customStyle="1" w:styleId="TextonotapieCar">
    <w:name w:val="Texto nota pie Car"/>
    <w:basedOn w:val="Fuentedeprrafopredeter"/>
    <w:link w:val="Textonotapie"/>
    <w:uiPriority w:val="99"/>
    <w:semiHidden/>
    <w:rsid w:val="00561B49"/>
    <w:rPr>
      <w:rFonts w:ascii="Arial" w:eastAsia="Times New Roman" w:hAnsi="Arial" w:cs="Arial"/>
      <w:sz w:val="20"/>
      <w:szCs w:val="20"/>
      <w:lang w:val="es-ES" w:eastAsia="es-ES"/>
    </w:rPr>
  </w:style>
  <w:style w:type="character" w:styleId="Refdenotaalpie">
    <w:name w:val="footnote reference"/>
    <w:basedOn w:val="Fuentedeprrafopredeter"/>
    <w:semiHidden/>
    <w:rsid w:val="00561B49"/>
    <w:rPr>
      <w:vertAlign w:val="superscript"/>
    </w:rPr>
  </w:style>
  <w:style w:type="paragraph" w:customStyle="1" w:styleId="Car">
    <w:name w:val="Car"/>
    <w:basedOn w:val="Normal"/>
    <w:semiHidden/>
    <w:rsid w:val="00561B49"/>
    <w:pPr>
      <w:spacing w:before="0" w:after="160" w:line="240" w:lineRule="exact"/>
      <w:jc w:val="left"/>
    </w:pPr>
    <w:rPr>
      <w:rFonts w:ascii="Verdana" w:eastAsia="Times New Roman" w:hAnsi="Verdana" w:cs="Verdana"/>
      <w:sz w:val="20"/>
      <w:szCs w:val="20"/>
      <w:lang w:val="en-AU"/>
    </w:rPr>
  </w:style>
  <w:style w:type="character" w:styleId="Mencinsinresolver">
    <w:name w:val="Unresolved Mention"/>
    <w:basedOn w:val="Fuentedeprrafopredeter"/>
    <w:uiPriority w:val="99"/>
    <w:semiHidden/>
    <w:unhideWhenUsed/>
    <w:rsid w:val="00561B49"/>
    <w:rPr>
      <w:color w:val="605E5C"/>
      <w:shd w:val="clear" w:color="auto" w:fill="E1DFDD"/>
    </w:rPr>
  </w:style>
  <w:style w:type="character" w:styleId="Hipervnculovisitado">
    <w:name w:val="FollowedHyperlink"/>
    <w:basedOn w:val="Fuentedeprrafopredeter"/>
    <w:uiPriority w:val="99"/>
    <w:semiHidden/>
    <w:unhideWhenUsed/>
    <w:rsid w:val="00561B49"/>
    <w:rPr>
      <w:color w:val="954F72" w:themeColor="followedHyperlink"/>
      <w:u w:val="single"/>
    </w:rPr>
  </w:style>
  <w:style w:type="paragraph" w:styleId="Revisin">
    <w:name w:val="Revision"/>
    <w:hidden/>
    <w:uiPriority w:val="99"/>
    <w:semiHidden/>
    <w:rsid w:val="00561B49"/>
    <w:pPr>
      <w:spacing w:after="0" w:line="240" w:lineRule="auto"/>
    </w:pPr>
    <w:rPr>
      <w:rFonts w:ascii="Times New Roman" w:hAnsi="Times New Roman"/>
      <w:sz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image" Target="media/image8.svg"/><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image" Target="media/image2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image" Target="media/image15.emf"/><Relationship Id="rId33" Type="http://schemas.openxmlformats.org/officeDocument/2006/relationships/image" Target="media/image23.sv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10.emf"/><Relationship Id="rId29" Type="http://schemas.openxmlformats.org/officeDocument/2006/relationships/image" Target="media/image19.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4.svg"/><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svg"/><Relationship Id="rId10" Type="http://schemas.openxmlformats.org/officeDocument/2006/relationships/image" Target="media/image3.svg"/><Relationship Id="rId19" Type="http://schemas.openxmlformats.org/officeDocument/2006/relationships/image" Target="media/image9.jpeg"/><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image" Target="media/image12.png"/><Relationship Id="rId27" Type="http://schemas.openxmlformats.org/officeDocument/2006/relationships/image" Target="media/image17.emf"/><Relationship Id="rId30" Type="http://schemas.openxmlformats.org/officeDocument/2006/relationships/image" Target="media/image20.png"/><Relationship Id="rId35" Type="http://schemas.openxmlformats.org/officeDocument/2006/relationships/image" Target="media/image25.png"/></Relationships>
</file>

<file path=word/_rels/foot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88E1D-8131-4D90-AB09-12B21D9C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2174</Words>
  <Characters>11961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Sotomayor Solano</dc:creator>
  <cp:keywords/>
  <dc:description/>
  <cp:lastModifiedBy>Rosibel Alvarez Rodríguez</cp:lastModifiedBy>
  <cp:revision>13</cp:revision>
  <cp:lastPrinted>2022-09-15T16:55:00Z</cp:lastPrinted>
  <dcterms:created xsi:type="dcterms:W3CDTF">2022-09-15T16:45:00Z</dcterms:created>
  <dcterms:modified xsi:type="dcterms:W3CDTF">2022-10-07T21:02:00Z</dcterms:modified>
</cp:coreProperties>
</file>