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261195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DE02BC">
        <w:rPr>
          <w:rFonts w:ascii="Arial" w:hAnsi="Arial" w:cs="Arial"/>
          <w:lang w:val="es-CR"/>
        </w:rPr>
        <w:t xml:space="preserve">193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DE02BC">
        <w:rPr>
          <w:rFonts w:ascii="Arial" w:hAnsi="Arial" w:cs="Arial"/>
          <w:lang w:val="es-CR"/>
        </w:rPr>
        <w:t>247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</w:t>
      </w:r>
      <w:r w:rsidR="007E1A2D">
        <w:rPr>
          <w:rFonts w:ascii="Arial" w:hAnsi="Arial"/>
        </w:rPr>
        <w:t>7</w:t>
      </w:r>
      <w:r w:rsidR="00DE02BC">
        <w:rPr>
          <w:rFonts w:ascii="Arial" w:hAnsi="Arial"/>
        </w:rPr>
        <w:t>17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DE02BC">
        <w:rPr>
          <w:rFonts w:ascii="Arial" w:hAnsi="Arial"/>
        </w:rPr>
        <w:t>7.8</w:t>
      </w:r>
      <w:r w:rsidR="00F23A70">
        <w:rPr>
          <w:rFonts w:ascii="Arial" w:hAnsi="Arial"/>
        </w:rPr>
        <w:t xml:space="preserve"> meses</w:t>
      </w:r>
      <w:r w:rsidR="00261195">
        <w:rPr>
          <w:rFonts w:ascii="Arial" w:hAnsi="Arial"/>
        </w:rPr>
        <w:t xml:space="preserve">,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ntando el tiempo de devolución</w:t>
      </w:r>
      <w:r w:rsidR="009B4B70">
        <w:rPr>
          <w:rFonts w:ascii="Arial" w:hAnsi="Arial"/>
        </w:rPr>
        <w:t>.</w:t>
      </w:r>
      <w:r w:rsidR="00615668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32735">
        <w:rPr>
          <w:rFonts w:ascii="Arial" w:hAnsi="Arial"/>
        </w:rPr>
        <w:t>7.</w:t>
      </w:r>
      <w:r w:rsidR="00DE02BC">
        <w:rPr>
          <w:rFonts w:ascii="Arial" w:hAnsi="Arial"/>
        </w:rPr>
        <w:t>6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DE02BC" w:rsidP="00DE02BC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Junio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432735" w:rsidP="001464C1">
            <w:pPr>
              <w:spacing w:after="200"/>
              <w:jc w:val="center"/>
            </w:pPr>
            <w:r>
              <w:t>2</w:t>
            </w:r>
            <w:r w:rsidR="00DE02BC">
              <w:t>5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DE02BC" w:rsidP="003F580D">
            <w:pPr>
              <w:spacing w:after="200"/>
              <w:jc w:val="center"/>
            </w:pPr>
            <w:r>
              <w:t>40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432735" w:rsidP="003F580D">
            <w:pPr>
              <w:spacing w:after="200"/>
              <w:jc w:val="center"/>
            </w:pPr>
            <w:r>
              <w:t>2</w:t>
            </w:r>
            <w:r w:rsidR="00DE02BC">
              <w:t>9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DE02BC" w:rsidP="00C5525A">
            <w:pPr>
              <w:spacing w:after="200"/>
              <w:jc w:val="center"/>
            </w:pPr>
            <w:r>
              <w:t>83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7E1A2D" w:rsidP="00C5525A">
            <w:pPr>
              <w:spacing w:after="200"/>
              <w:jc w:val="center"/>
            </w:pPr>
            <w:r>
              <w:t>59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DE02BC">
        <w:rPr>
          <w:noProof/>
          <w:lang w:val="es-CR" w:eastAsia="es-CR"/>
        </w:rPr>
        <w:lastRenderedPageBreak/>
        <w:drawing>
          <wp:inline distT="0" distB="0" distL="0" distR="0">
            <wp:extent cx="8891270" cy="5496845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9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DE02BC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57124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5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DE02BC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5659"/>
            <wp:effectExtent l="19050" t="0" r="5080" b="0"/>
            <wp:docPr id="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DE02BC">
      <w:rPr>
        <w:lang w:val="es-CR"/>
      </w:rPr>
      <w:t xml:space="preserve">junio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86AB9"/>
    <w:rsid w:val="003937DF"/>
    <w:rsid w:val="00394AF5"/>
    <w:rsid w:val="00394DF2"/>
    <w:rsid w:val="003A1742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54077"/>
    <w:rsid w:val="00471F96"/>
    <w:rsid w:val="00476031"/>
    <w:rsid w:val="00477744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C4639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B2156"/>
    <w:rsid w:val="00CB346D"/>
    <w:rsid w:val="00CC1B05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FDFB-287F-499E-A795-46317E48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100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51</cp:revision>
  <cp:lastPrinted>2014-10-20T19:13:00Z</cp:lastPrinted>
  <dcterms:created xsi:type="dcterms:W3CDTF">2017-06-14T17:02:00Z</dcterms:created>
  <dcterms:modified xsi:type="dcterms:W3CDTF">2018-08-06T15:29:00Z</dcterms:modified>
</cp:coreProperties>
</file>