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8835AD">
        <w:rPr>
          <w:rFonts w:ascii="Arial" w:hAnsi="Arial" w:cs="Arial"/>
          <w:lang w:val="es-CR"/>
        </w:rPr>
        <w:t>40</w:t>
      </w:r>
      <w:r w:rsidR="00481393">
        <w:rPr>
          <w:rFonts w:ascii="Arial" w:hAnsi="Arial" w:cs="Arial"/>
          <w:lang w:val="es-CR"/>
        </w:rPr>
        <w:t>0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481393">
        <w:rPr>
          <w:rFonts w:ascii="Arial" w:hAnsi="Arial" w:cs="Arial"/>
          <w:lang w:val="es-CR"/>
        </w:rPr>
        <w:t>223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1393">
        <w:rPr>
          <w:rFonts w:ascii="Arial" w:hAnsi="Arial"/>
        </w:rPr>
        <w:t>2175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481393">
        <w:rPr>
          <w:rFonts w:ascii="Arial" w:hAnsi="Arial"/>
        </w:rPr>
        <w:t>8.7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481393">
        <w:rPr>
          <w:rFonts w:ascii="Arial" w:hAnsi="Arial"/>
        </w:rPr>
        <w:t xml:space="preserve">sin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</w:t>
      </w:r>
      <w:r w:rsidR="00481393">
        <w:rPr>
          <w:rFonts w:ascii="Arial" w:hAnsi="Arial"/>
        </w:rPr>
        <w:t>r</w:t>
      </w:r>
      <w:r w:rsidR="00615668">
        <w:rPr>
          <w:rFonts w:ascii="Arial" w:hAnsi="Arial"/>
        </w:rPr>
        <w:t xml:space="preserve"> el tiempo de devolución</w:t>
      </w:r>
      <w:r w:rsidR="00301E66">
        <w:rPr>
          <w:rFonts w:ascii="Arial" w:hAnsi="Arial"/>
        </w:rPr>
        <w:t>. Contabilizando el tiempo de devolución se fijó en un aproximado de 9.4 meses</w:t>
      </w:r>
      <w:r w:rsidR="009B4B70">
        <w:rPr>
          <w:rFonts w:ascii="Arial" w:hAnsi="Arial"/>
        </w:rPr>
        <w:t>.</w:t>
      </w:r>
      <w:r w:rsidR="00615668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481393">
        <w:rPr>
          <w:rFonts w:ascii="Arial" w:hAnsi="Arial"/>
        </w:rPr>
        <w:t>9.1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481393" w:rsidP="00481393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Agosto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481393" w:rsidP="001464C1">
            <w:pPr>
              <w:spacing w:after="200"/>
              <w:jc w:val="center"/>
            </w:pPr>
            <w:r>
              <w:t>24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481393" w:rsidP="003F580D">
            <w:pPr>
              <w:spacing w:after="200"/>
              <w:jc w:val="center"/>
            </w:pPr>
            <w:r>
              <w:t>36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481393" w:rsidP="003F580D">
            <w:pPr>
              <w:spacing w:after="200"/>
              <w:jc w:val="center"/>
            </w:pPr>
            <w:r>
              <w:t>41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481393" w:rsidP="00C5525A">
            <w:pPr>
              <w:spacing w:after="200"/>
              <w:jc w:val="center"/>
            </w:pPr>
            <w:r>
              <w:t xml:space="preserve"> 121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481393" w:rsidP="006B3803">
            <w:pPr>
              <w:spacing w:after="200"/>
              <w:jc w:val="center"/>
            </w:pPr>
            <w:r>
              <w:t>61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301E66">
        <w:rPr>
          <w:noProof/>
          <w:lang w:val="es-CR" w:eastAsia="es-CR"/>
        </w:rPr>
        <w:lastRenderedPageBreak/>
        <w:drawing>
          <wp:inline distT="0" distB="0" distL="0" distR="0">
            <wp:extent cx="8891270" cy="5535375"/>
            <wp:effectExtent l="1905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3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301E66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71195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2E218F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2511"/>
            <wp:effectExtent l="19050" t="0" r="5080" b="0"/>
            <wp:docPr id="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481393">
      <w:rPr>
        <w:lang w:val="es-CR"/>
      </w:rPr>
      <w:t xml:space="preserve">agosto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86AB9"/>
    <w:rsid w:val="003937DF"/>
    <w:rsid w:val="00394AF5"/>
    <w:rsid w:val="00394DF2"/>
    <w:rsid w:val="003A1742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7489C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07A17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A7B4D"/>
    <w:rsid w:val="00CB2156"/>
    <w:rsid w:val="00CB346D"/>
    <w:rsid w:val="00CC1B05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F69"/>
    <w:rsid w:val="00D87822"/>
    <w:rsid w:val="00DA04D3"/>
    <w:rsid w:val="00DA376C"/>
    <w:rsid w:val="00DB4FF8"/>
    <w:rsid w:val="00DB58EE"/>
    <w:rsid w:val="00DB7FFE"/>
    <w:rsid w:val="00DD74C6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5FD75-B40F-4221-A918-A14F03B3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114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60</cp:revision>
  <cp:lastPrinted>2014-10-20T19:13:00Z</cp:lastPrinted>
  <dcterms:created xsi:type="dcterms:W3CDTF">2017-06-14T17:02:00Z</dcterms:created>
  <dcterms:modified xsi:type="dcterms:W3CDTF">2018-10-25T19:15:00Z</dcterms:modified>
</cp:coreProperties>
</file>