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>Informes de gestión de la Norma GICA: Organización del Despacho Judicial.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/>
        </w:rPr>
      </w:pPr>
      <w:r>
        <w:rPr>
          <w:rFonts w:ascii="Arial" w:hAnsi="Arial"/>
          <w:b/>
        </w:rPr>
        <w:t>Sala Segunda.</w:t>
      </w:r>
    </w:p>
    <w:p>
      <w:pPr>
        <w:pStyle w:val="Normal"/>
        <w:spacing w:lineRule="auto" w:line="360" w:before="0" w:after="200"/>
        <w:ind w:left="360" w:hanging="0"/>
        <w:jc w:val="both"/>
        <w:rPr>
          <w:rFonts w:ascii="Arial" w:hAnsi="Arial" w:cs="Arial"/>
          <w:lang w:val="es-CR"/>
        </w:rPr>
      </w:pPr>
      <w:r>
        <w:rPr>
          <w:rFonts w:cs="Arial" w:ascii="Arial" w:hAnsi="Arial"/>
        </w:rPr>
        <w:t>E</w:t>
      </w:r>
      <w:r>
        <w:rPr>
          <w:rFonts w:cs="Arial" w:ascii="Arial" w:hAnsi="Arial"/>
          <w:lang w:val="es-CR"/>
        </w:rPr>
        <w:t>l ingreso fue de 167 y la salida de 201 expedientes.</w:t>
      </w:r>
      <w:r>
        <w:rPr>
          <w:rFonts w:ascii="Arial" w:hAnsi="Arial"/>
        </w:rPr>
        <w:t xml:space="preserve"> Para un circulante de 4347 expedientes.</w:t>
      </w:r>
    </w:p>
    <w:p>
      <w:pPr>
        <w:pStyle w:val="Normal"/>
        <w:spacing w:lineRule="auto" w:line="360" w:before="0" w:after="20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  <w:t>Tiempo de tramitación de expedientes de la Sala Segunda.</w:t>
      </w:r>
    </w:p>
    <w:p>
      <w:pPr>
        <w:pStyle w:val="Normal"/>
        <w:numPr>
          <w:ilvl w:val="0"/>
          <w:numId w:val="1"/>
        </w:numPr>
        <w:spacing w:lineRule="auto" w:line="360" w:before="0"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El tiempo de tramitación en la Sala Segunda para el </w:t>
      </w:r>
      <w:r>
        <w:rPr>
          <w:rFonts w:ascii="Arial" w:hAnsi="Arial"/>
          <w:u w:val="single"/>
        </w:rPr>
        <w:t>mes</w:t>
      </w:r>
      <w:r>
        <w:rPr>
          <w:rFonts w:ascii="Arial" w:hAnsi="Arial"/>
        </w:rPr>
        <w:t xml:space="preserve"> se fijó en un aproximado de </w:t>
      </w:r>
      <w:r>
        <w:rPr>
          <w:rFonts w:ascii="Arial" w:hAnsi="Arial"/>
          <w:u w:val="single"/>
        </w:rPr>
        <w:t xml:space="preserve">9.6 meses y 9.7 meses contando el tiempo de devolución. </w:t>
      </w:r>
    </w:p>
    <w:p>
      <w:pPr>
        <w:pStyle w:val="Normal"/>
        <w:numPr>
          <w:ilvl w:val="0"/>
          <w:numId w:val="1"/>
        </w:numPr>
        <w:spacing w:lineRule="auto" w:line="360" w:before="0"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La composición promedio del tiempo de tramitación </w:t>
      </w:r>
      <w:r>
        <w:rPr>
          <w:rFonts w:ascii="Arial" w:hAnsi="Arial"/>
          <w:u w:val="single"/>
        </w:rPr>
        <w:t>semestral</w:t>
      </w:r>
      <w:r>
        <w:rPr>
          <w:rFonts w:ascii="Arial" w:hAnsi="Arial"/>
        </w:rPr>
        <w:t xml:space="preserve"> se fijó en </w:t>
      </w:r>
      <w:r>
        <w:rPr>
          <w:rFonts w:ascii="Arial" w:hAnsi="Arial"/>
          <w:u w:val="single"/>
        </w:rPr>
        <w:t>10.3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meses</w:t>
      </w:r>
      <w:r>
        <w:rPr>
          <w:rFonts w:ascii="Arial" w:hAnsi="Arial"/>
        </w:rPr>
        <w:t>. El detalle se muestra en el cuadro adjunto:</w:t>
      </w:r>
    </w:p>
    <w:p>
      <w:pPr>
        <w:pStyle w:val="Normal"/>
        <w:spacing w:lineRule="auto" w:line="360" w:before="0" w:after="200"/>
        <w:jc w:val="both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Tablaconcuadrcula"/>
        <w:tblpPr w:vertAnchor="text" w:horzAnchor="text" w:tblpXSpec="center" w:leftFromText="141" w:rightFromText="141" w:tblpY="1"/>
        <w:tblW w:w="525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26"/>
        <w:gridCol w:w="2625"/>
      </w:tblGrid>
      <w:tr>
        <w:trPr/>
        <w:tc>
          <w:tcPr>
            <w:tcW w:w="2626" w:type="dxa"/>
            <w:tcBorders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>RUBRO</w:t>
            </w:r>
          </w:p>
        </w:tc>
        <w:tc>
          <w:tcPr>
            <w:tcW w:w="2625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>Marzo</w:t>
            </w:r>
          </w:p>
        </w:tc>
      </w:tr>
      <w:tr>
        <w:trPr/>
        <w:tc>
          <w:tcPr>
            <w:tcW w:w="2626" w:type="dxa"/>
            <w:tcBorders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/>
              <w:t>ESPERA DEL EXPEDIENTE</w:t>
            </w:r>
          </w:p>
        </w:tc>
        <w:tc>
          <w:tcPr>
            <w:tcW w:w="2625" w:type="dxa"/>
            <w:tcBorders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 xml:space="preserve">15 </w:t>
            </w:r>
          </w:p>
        </w:tc>
      </w:tr>
      <w:tr>
        <w:trPr/>
        <w:tc>
          <w:tcPr>
            <w:tcW w:w="2626" w:type="dxa"/>
            <w:tcBorders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/>
              <w:t>DISTRIBUCIÓN</w:t>
            </w:r>
          </w:p>
        </w:tc>
        <w:tc>
          <w:tcPr>
            <w:tcW w:w="2625" w:type="dxa"/>
            <w:tcBorders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 xml:space="preserve">36 </w:t>
            </w:r>
          </w:p>
        </w:tc>
      </w:tr>
      <w:tr>
        <w:trPr/>
        <w:tc>
          <w:tcPr>
            <w:tcW w:w="2626" w:type="dxa"/>
            <w:tcBorders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/>
              <w:t>REDACCIÓN</w:t>
            </w:r>
          </w:p>
        </w:tc>
        <w:tc>
          <w:tcPr>
            <w:tcW w:w="2625" w:type="dxa"/>
            <w:tcBorders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 xml:space="preserve">81 </w:t>
            </w:r>
          </w:p>
        </w:tc>
      </w:tr>
      <w:tr>
        <w:trPr>
          <w:trHeight w:val="404" w:hRule="atLeast"/>
        </w:trPr>
        <w:tc>
          <w:tcPr>
            <w:tcW w:w="2626" w:type="dxa"/>
            <w:tcBorders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/>
              <w:t>ROTACIÓN</w:t>
            </w:r>
          </w:p>
        </w:tc>
        <w:tc>
          <w:tcPr>
            <w:tcW w:w="2625" w:type="dxa"/>
            <w:tcBorders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 xml:space="preserve">135  </w:t>
            </w:r>
          </w:p>
        </w:tc>
      </w:tr>
      <w:tr>
        <w:trPr/>
        <w:tc>
          <w:tcPr>
            <w:tcW w:w="2626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DEVOLUCIÓN</w:t>
            </w:r>
          </w:p>
        </w:tc>
        <w:tc>
          <w:tcPr>
            <w:tcW w:w="2625" w:type="dxa"/>
            <w:tcBorders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25</w:t>
            </w:r>
          </w:p>
        </w:tc>
      </w:tr>
    </w:tbl>
    <w:p>
      <w:pPr>
        <w:pStyle w:val="Normal"/>
        <w:spacing w:lineRule="auto" w:line="360" w:before="240" w:after="200"/>
        <w:rPr/>
      </w:pPr>
      <w:r/>
      <w:r>
        <w:rPr>
          <w:rFonts w:ascii="Arial" w:hAnsi="Arial"/>
        </w:rPr>
        <w:br/>
      </w:r>
      <w:r>
        <w:rPr/>
        <w:drawing>
          <wp:inline distT="0" distB="0" distL="0" distR="0">
            <wp:extent cx="8108950" cy="5400040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240" w:after="200"/>
        <w:jc w:val="center"/>
        <w:rPr/>
      </w:pPr>
      <w:r>
        <w:rPr/>
        <w:drawing>
          <wp:inline distT="0" distB="0" distL="0" distR="0">
            <wp:extent cx="8797925" cy="5400040"/>
            <wp:effectExtent l="0" t="0" r="0" b="0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92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8798560" cy="5400040"/>
            <wp:effectExtent l="0" t="0" r="0" b="0"/>
            <wp:docPr id="3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56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type w:val="nextPage"/>
      <w:pgSz w:orient="landscape" w:w="16838" w:h="11906"/>
      <w:pgMar w:left="1418" w:right="1418" w:header="709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lang w:val="es-CR"/>
      </w:rPr>
    </w:pPr>
    <w:r>
      <w:rPr>
        <w:lang w:val="es-CR"/>
      </w:rPr>
      <w:t>Informes de Gestión</w:t>
    </w:r>
  </w:p>
  <w:p>
    <w:pPr>
      <w:pStyle w:val="Cabecera"/>
      <w:pBdr>
        <w:bottom w:val="single" w:sz="4" w:space="1" w:color="000000"/>
      </w:pBdr>
      <w:jc w:val="right"/>
      <w:rPr>
        <w:lang w:val="es-CR"/>
      </w:rPr>
    </w:pPr>
    <w:r>
      <w:rPr>
        <w:lang w:val="es-CR"/>
      </w:rPr>
      <w:t>Informe de marzo 2020</w:t>
    </w:r>
  </w:p>
  <w:p>
    <w:pPr>
      <w:pStyle w:val="Cabecera"/>
      <w:rPr>
        <w:lang w:val="es-CR"/>
      </w:rPr>
    </w:pPr>
    <w:r>
      <w:rPr>
        <w:lang w:val="es-C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s-C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CR" w:eastAsia="es-C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907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1907f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rsid w:val="001907f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6a4942"/>
    <w:pPr/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7a5b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AC46F-7E1B-4F29-8AF5-946D0DEE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Application>LibreOffice/6.4.0.3$Windows_X86_64 LibreOffice_project/b0a288ab3d2d4774cb44b62f04d5d28733ac6df8</Application>
  <Pages>3</Pages>
  <Words>110</Words>
  <Characters>537</Characters>
  <CharactersWithSpaces>633</CharactersWithSpaces>
  <Paragraphs>23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2017-06-14T17:02:00Z</dcterms:created>
  <dc:creator>gsalasz</dc:creator>
  <dc:description/>
  <dc:language>es-CR</dc:language>
  <cp:lastModifiedBy>Kenneth Muñoz Rojas</cp:lastModifiedBy>
  <cp:lastPrinted>2014-10-20T19:13:00Z</cp:lastPrinted>
  <dcterms:modified xsi:type="dcterms:W3CDTF">2020-04-15T17:25:00Z</dcterms:modified>
  <cp:revision>89</cp:revision>
  <dc:subject/>
  <dc:title>Indicadores de gestión de la Norma GICA 2010: Organización del Despacho Judicial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