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53D54" w14:textId="5FC9D9A8" w:rsidR="001907F7" w:rsidRDefault="00E2762C" w:rsidP="001907F7">
      <w:pPr>
        <w:spacing w:line="36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 </w:t>
      </w:r>
      <w:r w:rsidR="001907F7">
        <w:rPr>
          <w:rFonts w:ascii="Arial" w:hAnsi="Arial"/>
          <w:b/>
          <w:sz w:val="32"/>
        </w:rPr>
        <w:t>I</w:t>
      </w:r>
      <w:r w:rsidR="001907F7" w:rsidRPr="005328FE">
        <w:rPr>
          <w:rFonts w:ascii="Arial" w:hAnsi="Arial"/>
          <w:b/>
          <w:sz w:val="32"/>
        </w:rPr>
        <w:t>n</w:t>
      </w:r>
      <w:r w:rsidR="00B2601E">
        <w:rPr>
          <w:rFonts w:ascii="Arial" w:hAnsi="Arial"/>
          <w:b/>
          <w:sz w:val="32"/>
        </w:rPr>
        <w:t>formes</w:t>
      </w:r>
      <w:r w:rsidR="001907F7" w:rsidRPr="005328FE">
        <w:rPr>
          <w:rFonts w:ascii="Arial" w:hAnsi="Arial"/>
          <w:b/>
          <w:sz w:val="32"/>
        </w:rPr>
        <w:t xml:space="preserve"> de gestión Organización del Despacho Judicial</w:t>
      </w:r>
      <w:r w:rsidR="001907F7">
        <w:rPr>
          <w:rFonts w:ascii="Arial" w:hAnsi="Arial"/>
          <w:b/>
          <w:sz w:val="32"/>
        </w:rPr>
        <w:t>.</w:t>
      </w:r>
    </w:p>
    <w:p w14:paraId="14EE8A12" w14:textId="77777777" w:rsidR="001907F7" w:rsidRPr="005328FE" w:rsidRDefault="001907F7" w:rsidP="001907F7">
      <w:pPr>
        <w:tabs>
          <w:tab w:val="left" w:pos="0"/>
        </w:tabs>
        <w:spacing w:line="360" w:lineRule="auto"/>
        <w:jc w:val="both"/>
        <w:rPr>
          <w:rFonts w:ascii="Arial" w:hAnsi="Arial"/>
        </w:rPr>
      </w:pPr>
    </w:p>
    <w:p w14:paraId="1E33A41E" w14:textId="77777777" w:rsidR="001907F7" w:rsidRPr="00A245BE" w:rsidRDefault="001907F7" w:rsidP="009E1EA2">
      <w:pPr>
        <w:tabs>
          <w:tab w:val="left" w:pos="0"/>
        </w:tabs>
        <w:jc w:val="both"/>
        <w:rPr>
          <w:rFonts w:ascii="Arial" w:hAnsi="Arial"/>
        </w:rPr>
      </w:pPr>
      <w:r w:rsidRPr="005328FE">
        <w:rPr>
          <w:rFonts w:ascii="Arial" w:hAnsi="Arial"/>
          <w:b/>
        </w:rPr>
        <w:t>Sala Segunda.</w:t>
      </w:r>
    </w:p>
    <w:p w14:paraId="3E2BC2A1" w14:textId="1097BE9A" w:rsidR="00757533" w:rsidRPr="00261195" w:rsidRDefault="006D3F4B" w:rsidP="009E1EA2">
      <w:pPr>
        <w:spacing w:after="200"/>
        <w:ind w:left="360"/>
        <w:jc w:val="both"/>
        <w:rPr>
          <w:rFonts w:ascii="Arial" w:hAnsi="Arial" w:cs="Arial"/>
          <w:lang w:val="es-CR"/>
        </w:rPr>
      </w:pPr>
      <w:r>
        <w:rPr>
          <w:rFonts w:ascii="Arial" w:hAnsi="Arial" w:cs="Arial"/>
        </w:rPr>
        <w:t>E</w:t>
      </w:r>
      <w:r>
        <w:rPr>
          <w:rFonts w:ascii="Arial" w:hAnsi="Arial" w:cs="Arial"/>
          <w:lang w:val="es-CR"/>
        </w:rPr>
        <w:t xml:space="preserve">l </w:t>
      </w:r>
      <w:r w:rsidR="00A54144">
        <w:rPr>
          <w:rFonts w:ascii="Arial" w:hAnsi="Arial" w:cs="Arial"/>
          <w:lang w:val="es-CR"/>
        </w:rPr>
        <w:t>ingreso</w:t>
      </w:r>
      <w:r w:rsidR="00F44064">
        <w:rPr>
          <w:rFonts w:ascii="Arial" w:hAnsi="Arial" w:cs="Arial"/>
          <w:lang w:val="es-CR"/>
        </w:rPr>
        <w:t xml:space="preserve"> </w:t>
      </w:r>
      <w:r w:rsidR="00957F30">
        <w:rPr>
          <w:rFonts w:ascii="Arial" w:hAnsi="Arial" w:cs="Arial"/>
          <w:lang w:val="es-CR"/>
        </w:rPr>
        <w:t xml:space="preserve">fue de </w:t>
      </w:r>
      <w:r w:rsidR="001F72D0">
        <w:rPr>
          <w:rFonts w:ascii="Arial" w:hAnsi="Arial" w:cs="Arial"/>
          <w:lang w:val="es-CR"/>
        </w:rPr>
        <w:t>251</w:t>
      </w:r>
      <w:r w:rsidR="0048207E">
        <w:rPr>
          <w:rFonts w:ascii="Arial" w:hAnsi="Arial" w:cs="Arial"/>
          <w:lang w:val="es-CR"/>
        </w:rPr>
        <w:t xml:space="preserve"> </w:t>
      </w:r>
      <w:r w:rsidR="004D6114">
        <w:rPr>
          <w:rFonts w:ascii="Arial" w:hAnsi="Arial" w:cs="Arial"/>
          <w:lang w:val="es-CR"/>
        </w:rPr>
        <w:t xml:space="preserve">y </w:t>
      </w:r>
      <w:r w:rsidR="00590F47">
        <w:rPr>
          <w:rFonts w:ascii="Arial" w:hAnsi="Arial" w:cs="Arial"/>
          <w:lang w:val="es-CR"/>
        </w:rPr>
        <w:t xml:space="preserve">la </w:t>
      </w:r>
      <w:r w:rsidR="004D6114">
        <w:rPr>
          <w:rFonts w:ascii="Arial" w:hAnsi="Arial" w:cs="Arial"/>
          <w:lang w:val="es-CR"/>
        </w:rPr>
        <w:t xml:space="preserve">salida </w:t>
      </w:r>
      <w:r w:rsidR="00F44064">
        <w:rPr>
          <w:rFonts w:ascii="Arial" w:hAnsi="Arial" w:cs="Arial"/>
          <w:lang w:val="es-CR"/>
        </w:rPr>
        <w:t>de</w:t>
      </w:r>
      <w:r w:rsidR="00471F96">
        <w:rPr>
          <w:rFonts w:ascii="Arial" w:hAnsi="Arial" w:cs="Arial"/>
          <w:lang w:val="es-CR"/>
        </w:rPr>
        <w:t xml:space="preserve"> </w:t>
      </w:r>
      <w:r w:rsidR="001F72D0">
        <w:rPr>
          <w:rFonts w:ascii="Arial" w:hAnsi="Arial" w:cs="Arial"/>
          <w:lang w:val="es-CR"/>
        </w:rPr>
        <w:t>327</w:t>
      </w:r>
      <w:r w:rsidR="007E3964">
        <w:rPr>
          <w:rFonts w:ascii="Arial" w:hAnsi="Arial" w:cs="Arial"/>
          <w:lang w:val="es-CR"/>
        </w:rPr>
        <w:t xml:space="preserve"> </w:t>
      </w:r>
      <w:r w:rsidR="00F44064">
        <w:rPr>
          <w:rFonts w:ascii="Arial" w:hAnsi="Arial" w:cs="Arial"/>
          <w:lang w:val="es-CR"/>
        </w:rPr>
        <w:t>expedientes</w:t>
      </w:r>
      <w:r w:rsidR="004D6114">
        <w:rPr>
          <w:rFonts w:ascii="Arial" w:hAnsi="Arial" w:cs="Arial"/>
          <w:lang w:val="es-CR"/>
        </w:rPr>
        <w:t>.</w:t>
      </w:r>
      <w:r w:rsidR="00173BCD">
        <w:rPr>
          <w:rFonts w:ascii="Arial" w:hAnsi="Arial"/>
        </w:rPr>
        <w:t xml:space="preserve"> </w:t>
      </w:r>
      <w:r w:rsidR="004D6114">
        <w:rPr>
          <w:rFonts w:ascii="Arial" w:hAnsi="Arial"/>
        </w:rPr>
        <w:t xml:space="preserve">Para un circulante de </w:t>
      </w:r>
      <w:r w:rsidR="007E3964">
        <w:rPr>
          <w:rFonts w:ascii="Arial" w:hAnsi="Arial"/>
        </w:rPr>
        <w:t>4</w:t>
      </w:r>
      <w:r w:rsidR="001F72D0">
        <w:rPr>
          <w:rFonts w:ascii="Arial" w:hAnsi="Arial"/>
        </w:rPr>
        <w:t>626</w:t>
      </w:r>
      <w:r w:rsidR="008D57D8">
        <w:rPr>
          <w:rFonts w:ascii="Arial" w:hAnsi="Arial"/>
        </w:rPr>
        <w:t xml:space="preserve"> </w:t>
      </w:r>
      <w:r w:rsidR="004D6114">
        <w:rPr>
          <w:rFonts w:ascii="Arial" w:hAnsi="Arial"/>
        </w:rPr>
        <w:t>expedientes</w:t>
      </w:r>
      <w:r w:rsidR="001D4782">
        <w:rPr>
          <w:rFonts w:ascii="Arial" w:hAnsi="Arial"/>
        </w:rPr>
        <w:t>.</w:t>
      </w:r>
    </w:p>
    <w:p w14:paraId="2FD66904" w14:textId="77777777" w:rsidR="001907F7" w:rsidRPr="005328FE" w:rsidRDefault="001907F7" w:rsidP="009E1EA2">
      <w:pPr>
        <w:spacing w:after="200"/>
        <w:jc w:val="both"/>
        <w:rPr>
          <w:rFonts w:ascii="Arial" w:hAnsi="Arial"/>
          <w:b/>
        </w:rPr>
      </w:pPr>
      <w:r w:rsidRPr="005328FE">
        <w:rPr>
          <w:rFonts w:ascii="Arial" w:hAnsi="Arial"/>
          <w:b/>
        </w:rPr>
        <w:t>Tiempo de tramitación de expedientes de la Sala Segunda.</w:t>
      </w:r>
    </w:p>
    <w:p w14:paraId="4F877FB7" w14:textId="501CD630" w:rsidR="006C5989" w:rsidRDefault="00526068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 w:rsidRPr="005328FE">
        <w:rPr>
          <w:rFonts w:ascii="Arial" w:hAnsi="Arial"/>
        </w:rPr>
        <w:t xml:space="preserve">El tiempo de tramitación en la Sala Segunda </w:t>
      </w:r>
      <w:r w:rsidR="00715EBB">
        <w:rPr>
          <w:rFonts w:ascii="Arial" w:hAnsi="Arial"/>
        </w:rPr>
        <w:t xml:space="preserve">para </w:t>
      </w:r>
      <w:r w:rsidR="00153E90">
        <w:rPr>
          <w:rFonts w:ascii="Arial" w:hAnsi="Arial"/>
        </w:rPr>
        <w:t xml:space="preserve">el </w:t>
      </w:r>
      <w:r w:rsidR="00153E90" w:rsidRPr="00846CF4">
        <w:rPr>
          <w:rFonts w:ascii="Arial" w:hAnsi="Arial"/>
          <w:u w:val="single"/>
        </w:rPr>
        <w:t>mes</w:t>
      </w:r>
      <w:r w:rsidR="00153E90" w:rsidRPr="00846CF4">
        <w:rPr>
          <w:rFonts w:ascii="Arial" w:hAnsi="Arial"/>
        </w:rPr>
        <w:t xml:space="preserve"> </w:t>
      </w:r>
      <w:r w:rsidR="00153E90">
        <w:rPr>
          <w:rFonts w:ascii="Arial" w:hAnsi="Arial"/>
        </w:rPr>
        <w:t>se</w:t>
      </w:r>
      <w:r w:rsidR="00615668">
        <w:rPr>
          <w:rFonts w:ascii="Arial" w:hAnsi="Arial"/>
        </w:rPr>
        <w:t xml:space="preserve"> fijó</w:t>
      </w:r>
      <w:r w:rsidR="00F97123">
        <w:rPr>
          <w:rFonts w:ascii="Arial" w:hAnsi="Arial"/>
        </w:rPr>
        <w:t xml:space="preserve"> en un aproxi</w:t>
      </w:r>
      <w:r w:rsidR="00FA6F39">
        <w:rPr>
          <w:rFonts w:ascii="Arial" w:hAnsi="Arial"/>
        </w:rPr>
        <w:t xml:space="preserve">mado de </w:t>
      </w:r>
      <w:r w:rsidR="007E3964">
        <w:rPr>
          <w:rFonts w:ascii="Arial" w:hAnsi="Arial"/>
        </w:rPr>
        <w:t>9.</w:t>
      </w:r>
      <w:r w:rsidR="000F27E5">
        <w:rPr>
          <w:rFonts w:ascii="Arial" w:hAnsi="Arial"/>
        </w:rPr>
        <w:t>6</w:t>
      </w:r>
      <w:r w:rsidR="001973B5">
        <w:rPr>
          <w:rFonts w:ascii="Arial" w:hAnsi="Arial"/>
        </w:rPr>
        <w:t xml:space="preserve"> </w:t>
      </w:r>
      <w:r w:rsidR="009B4B70" w:rsidRPr="00846CF4">
        <w:rPr>
          <w:rFonts w:ascii="Arial" w:hAnsi="Arial"/>
          <w:u w:val="single"/>
        </w:rPr>
        <w:t>co</w:t>
      </w:r>
      <w:r w:rsidR="00615668" w:rsidRPr="00846CF4">
        <w:rPr>
          <w:rFonts w:ascii="Arial" w:hAnsi="Arial"/>
          <w:u w:val="single"/>
        </w:rPr>
        <w:t>nta</w:t>
      </w:r>
      <w:r w:rsidR="00FA0748" w:rsidRPr="00846CF4">
        <w:rPr>
          <w:rFonts w:ascii="Arial" w:hAnsi="Arial"/>
          <w:u w:val="single"/>
        </w:rPr>
        <w:t xml:space="preserve">ndo </w:t>
      </w:r>
      <w:r w:rsidR="00615668" w:rsidRPr="00846CF4">
        <w:rPr>
          <w:rFonts w:ascii="Arial" w:hAnsi="Arial"/>
          <w:u w:val="single"/>
        </w:rPr>
        <w:t>el tiempo de devolución</w:t>
      </w:r>
      <w:r w:rsidR="00301E66" w:rsidRPr="00846CF4">
        <w:rPr>
          <w:rFonts w:ascii="Arial" w:hAnsi="Arial"/>
          <w:u w:val="single"/>
        </w:rPr>
        <w:t xml:space="preserve">. </w:t>
      </w:r>
    </w:p>
    <w:p w14:paraId="56CDD0F2" w14:textId="77777777" w:rsidR="009E1EA2" w:rsidRDefault="00344722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>
        <w:rPr>
          <w:rFonts w:ascii="Arial" w:hAnsi="Arial"/>
        </w:rPr>
        <w:t>La</w:t>
      </w:r>
      <w:r w:rsidR="00526068">
        <w:rPr>
          <w:rFonts w:ascii="Arial" w:hAnsi="Arial"/>
        </w:rPr>
        <w:t xml:space="preserve"> composición promedio del tiempo de tramitación</w:t>
      </w:r>
      <w:r w:rsidR="00526068" w:rsidRPr="007C1F78">
        <w:rPr>
          <w:rFonts w:ascii="Arial" w:hAnsi="Arial"/>
        </w:rPr>
        <w:t xml:space="preserve"> </w:t>
      </w:r>
      <w:r w:rsidR="00526068" w:rsidRPr="00144533">
        <w:rPr>
          <w:rFonts w:ascii="Arial" w:hAnsi="Arial"/>
          <w:u w:val="single"/>
        </w:rPr>
        <w:t>semestral</w:t>
      </w:r>
      <w:r w:rsidR="00A02C8D">
        <w:rPr>
          <w:rFonts w:ascii="Arial" w:hAnsi="Arial"/>
        </w:rPr>
        <w:t xml:space="preserve"> </w:t>
      </w:r>
      <w:r w:rsidR="00AD3038">
        <w:rPr>
          <w:rFonts w:ascii="Arial" w:hAnsi="Arial"/>
        </w:rPr>
        <w:t>se fij</w:t>
      </w:r>
      <w:r w:rsidR="00615668">
        <w:rPr>
          <w:rFonts w:ascii="Arial" w:hAnsi="Arial"/>
        </w:rPr>
        <w:t>ó</w:t>
      </w:r>
      <w:r w:rsidR="00761F83">
        <w:rPr>
          <w:rFonts w:ascii="Arial" w:hAnsi="Arial"/>
        </w:rPr>
        <w:t xml:space="preserve"> en </w:t>
      </w:r>
      <w:r w:rsidR="007E3964">
        <w:rPr>
          <w:rFonts w:ascii="Arial" w:hAnsi="Arial"/>
        </w:rPr>
        <w:t>9.</w:t>
      </w:r>
      <w:r w:rsidR="008B4643">
        <w:rPr>
          <w:rFonts w:ascii="Arial" w:hAnsi="Arial"/>
        </w:rPr>
        <w:t>6</w:t>
      </w:r>
      <w:r w:rsidR="007E3964">
        <w:rPr>
          <w:rFonts w:ascii="Arial" w:hAnsi="Arial"/>
        </w:rPr>
        <w:t xml:space="preserve"> </w:t>
      </w:r>
      <w:r w:rsidR="0088505B" w:rsidRPr="00234E92">
        <w:rPr>
          <w:rFonts w:ascii="Arial" w:hAnsi="Arial"/>
          <w:u w:val="single"/>
        </w:rPr>
        <w:t>meses</w:t>
      </w:r>
      <w:r w:rsidR="00123450">
        <w:rPr>
          <w:rFonts w:ascii="Arial" w:hAnsi="Arial"/>
        </w:rPr>
        <w:t xml:space="preserve">. </w:t>
      </w:r>
    </w:p>
    <w:p w14:paraId="30D5AB82" w14:textId="77777777" w:rsidR="009E1EA2" w:rsidRPr="00D30395" w:rsidRDefault="009E1EA2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>
        <w:rPr>
          <w:rFonts w:ascii="Arial" w:hAnsi="Arial"/>
        </w:rPr>
        <w:t xml:space="preserve">Se hace la observación que el tiempo de tramitación promedio, se extrae de todos aquellos expedientes que circularon para estudio del proyecto y que fueron votados durante el mes, pasando por cada uno de los procesos de tramitación interna en el despacho. </w:t>
      </w:r>
    </w:p>
    <w:p w14:paraId="10215AAB" w14:textId="77777777" w:rsidR="009E1EA2" w:rsidRDefault="009E1EA2" w:rsidP="009E1EA2">
      <w:pPr>
        <w:spacing w:after="200"/>
        <w:ind w:left="720"/>
        <w:jc w:val="both"/>
        <w:rPr>
          <w:rFonts w:ascii="Arial" w:hAnsi="Arial"/>
        </w:rPr>
      </w:pPr>
      <w:r>
        <w:rPr>
          <w:rFonts w:ascii="Arial" w:hAnsi="Arial"/>
        </w:rPr>
        <w:t>El detalle se muestra en el cuadro adjunto:</w:t>
      </w:r>
    </w:p>
    <w:p w14:paraId="2F77D2A0" w14:textId="77777777" w:rsidR="00590F47" w:rsidRDefault="00590F47" w:rsidP="00590F47">
      <w:pPr>
        <w:spacing w:after="200" w:line="360" w:lineRule="auto"/>
        <w:jc w:val="both"/>
        <w:rPr>
          <w:rFonts w:ascii="Arial" w:hAnsi="Arial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5252" w:type="dxa"/>
        <w:tblLook w:val="01E0" w:firstRow="1" w:lastRow="1" w:firstColumn="1" w:lastColumn="1" w:noHBand="0" w:noVBand="0"/>
      </w:tblPr>
      <w:tblGrid>
        <w:gridCol w:w="2626"/>
        <w:gridCol w:w="2626"/>
      </w:tblGrid>
      <w:tr w:rsidR="00590F47" w:rsidRPr="007A5B94" w14:paraId="5CAF4D20" w14:textId="77777777" w:rsidTr="00EF0C2F">
        <w:tc>
          <w:tcPr>
            <w:tcW w:w="2626" w:type="dxa"/>
          </w:tcPr>
          <w:p w14:paraId="22D80A8F" w14:textId="77777777" w:rsidR="00590F47" w:rsidRPr="007A5B94" w:rsidRDefault="00590F47" w:rsidP="00EF0C2F">
            <w:pPr>
              <w:spacing w:after="200"/>
              <w:rPr>
                <w:rFonts w:ascii="Arial" w:hAnsi="Arial"/>
                <w:b/>
              </w:rPr>
            </w:pPr>
            <w:r w:rsidRPr="007A5B94">
              <w:rPr>
                <w:rFonts w:ascii="Arial" w:hAnsi="Arial"/>
                <w:b/>
              </w:rPr>
              <w:t>RUBRO</w:t>
            </w:r>
          </w:p>
        </w:tc>
        <w:tc>
          <w:tcPr>
            <w:tcW w:w="2626" w:type="dxa"/>
          </w:tcPr>
          <w:p w14:paraId="5519DFE6" w14:textId="47E26099" w:rsidR="00590F47" w:rsidRPr="007A5B94" w:rsidRDefault="008B4643" w:rsidP="00320842">
            <w:pPr>
              <w:spacing w:after="20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</w:t>
            </w:r>
            <w:r w:rsidR="000F27E5">
              <w:rPr>
                <w:rFonts w:ascii="Arial" w:hAnsi="Arial"/>
                <w:b/>
              </w:rPr>
              <w:t>l</w:t>
            </w:r>
            <w:r>
              <w:rPr>
                <w:rFonts w:ascii="Arial" w:hAnsi="Arial"/>
                <w:b/>
              </w:rPr>
              <w:t>io</w:t>
            </w:r>
          </w:p>
        </w:tc>
      </w:tr>
      <w:tr w:rsidR="00590F47" w14:paraId="2ADD65E8" w14:textId="77777777" w:rsidTr="00EF0C2F">
        <w:tc>
          <w:tcPr>
            <w:tcW w:w="2626" w:type="dxa"/>
          </w:tcPr>
          <w:p w14:paraId="4C2EA4E8" w14:textId="3C499B66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ESPERA DEL EXPEDIENTE</w:t>
            </w:r>
          </w:p>
        </w:tc>
        <w:tc>
          <w:tcPr>
            <w:tcW w:w="2626" w:type="dxa"/>
          </w:tcPr>
          <w:p w14:paraId="347941C8" w14:textId="7B2F0A47" w:rsidR="00590F47" w:rsidRDefault="00A73102" w:rsidP="00E63373">
            <w:pPr>
              <w:spacing w:after="200"/>
              <w:jc w:val="center"/>
            </w:pPr>
            <w:r>
              <w:t>1</w:t>
            </w:r>
            <w:r w:rsidR="000F27E5">
              <w:t>0</w:t>
            </w:r>
          </w:p>
        </w:tc>
      </w:tr>
      <w:tr w:rsidR="00590F47" w14:paraId="5F208720" w14:textId="77777777" w:rsidTr="00EF0C2F">
        <w:tc>
          <w:tcPr>
            <w:tcW w:w="2626" w:type="dxa"/>
          </w:tcPr>
          <w:p w14:paraId="0A9B3D5E" w14:textId="77777777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DISTRIBUCIÓN</w:t>
            </w:r>
          </w:p>
        </w:tc>
        <w:tc>
          <w:tcPr>
            <w:tcW w:w="2626" w:type="dxa"/>
          </w:tcPr>
          <w:p w14:paraId="008DE897" w14:textId="0494A18F" w:rsidR="00590F47" w:rsidRDefault="000F27E5" w:rsidP="00846CF4">
            <w:pPr>
              <w:spacing w:after="200"/>
              <w:jc w:val="center"/>
            </w:pPr>
            <w:r>
              <w:t>19</w:t>
            </w:r>
          </w:p>
        </w:tc>
      </w:tr>
      <w:tr w:rsidR="00590F47" w14:paraId="5E5CD42A" w14:textId="77777777" w:rsidTr="00EF0C2F">
        <w:tc>
          <w:tcPr>
            <w:tcW w:w="2626" w:type="dxa"/>
          </w:tcPr>
          <w:p w14:paraId="7DECBF26" w14:textId="6EDB715E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REDACCIÓN</w:t>
            </w:r>
          </w:p>
        </w:tc>
        <w:tc>
          <w:tcPr>
            <w:tcW w:w="2626" w:type="dxa"/>
          </w:tcPr>
          <w:p w14:paraId="7E6E0904" w14:textId="78254B0C" w:rsidR="00590F47" w:rsidRDefault="00A73102" w:rsidP="00846CF4">
            <w:pPr>
              <w:spacing w:after="200"/>
              <w:jc w:val="center"/>
            </w:pPr>
            <w:r>
              <w:t>9</w:t>
            </w:r>
            <w:r w:rsidR="008B4643">
              <w:t>4</w:t>
            </w:r>
          </w:p>
        </w:tc>
      </w:tr>
      <w:tr w:rsidR="00590F47" w14:paraId="40F36263" w14:textId="77777777" w:rsidTr="00EF0C2F">
        <w:trPr>
          <w:trHeight w:val="404"/>
        </w:trPr>
        <w:tc>
          <w:tcPr>
            <w:tcW w:w="2626" w:type="dxa"/>
          </w:tcPr>
          <w:p w14:paraId="2A4436E3" w14:textId="739910C4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ROTACIÓN</w:t>
            </w:r>
          </w:p>
        </w:tc>
        <w:tc>
          <w:tcPr>
            <w:tcW w:w="2626" w:type="dxa"/>
          </w:tcPr>
          <w:p w14:paraId="15FA5DF6" w14:textId="1EECA02C" w:rsidR="00590F47" w:rsidRDefault="002F02A1" w:rsidP="00846CF4">
            <w:pPr>
              <w:spacing w:after="200"/>
              <w:jc w:val="center"/>
            </w:pPr>
            <w:r>
              <w:t>1</w:t>
            </w:r>
            <w:r w:rsidR="000F27E5">
              <w:t>16</w:t>
            </w:r>
          </w:p>
        </w:tc>
      </w:tr>
      <w:tr w:rsidR="00590F47" w14:paraId="5E2273EF" w14:textId="77777777" w:rsidTr="00EF0C2F">
        <w:tc>
          <w:tcPr>
            <w:tcW w:w="2626" w:type="dxa"/>
          </w:tcPr>
          <w:p w14:paraId="54123666" w14:textId="77777777" w:rsidR="00590F47" w:rsidRDefault="00590F47" w:rsidP="00EF0C2F">
            <w:pPr>
              <w:spacing w:after="200"/>
            </w:pPr>
            <w:r>
              <w:t>DEVOLUCIÓN</w:t>
            </w:r>
          </w:p>
        </w:tc>
        <w:tc>
          <w:tcPr>
            <w:tcW w:w="2626" w:type="dxa"/>
          </w:tcPr>
          <w:p w14:paraId="59BDB700" w14:textId="53642E9A" w:rsidR="00590F47" w:rsidRDefault="000F27E5" w:rsidP="00846CF4">
            <w:pPr>
              <w:spacing w:after="200"/>
              <w:jc w:val="center"/>
            </w:pPr>
            <w:r>
              <w:t>34</w:t>
            </w:r>
          </w:p>
        </w:tc>
      </w:tr>
    </w:tbl>
    <w:p w14:paraId="67836EE2" w14:textId="416E6B46" w:rsidR="0011439B" w:rsidRDefault="0011439B" w:rsidP="00A63D2B">
      <w:pPr>
        <w:spacing w:before="240" w:after="200" w:line="360" w:lineRule="auto"/>
        <w:jc w:val="center"/>
        <w:rPr>
          <w:noProof/>
        </w:rPr>
      </w:pPr>
    </w:p>
    <w:p w14:paraId="34A106CA" w14:textId="4416239D" w:rsidR="00396463" w:rsidRDefault="00396463" w:rsidP="00A63D2B">
      <w:pPr>
        <w:spacing w:before="240" w:after="200" w:line="360" w:lineRule="auto"/>
        <w:jc w:val="center"/>
        <w:rPr>
          <w:noProof/>
        </w:rPr>
      </w:pPr>
    </w:p>
    <w:p w14:paraId="40B19F10" w14:textId="1745C3AE" w:rsidR="008D04F8" w:rsidRDefault="008D04F8" w:rsidP="009E1EA2">
      <w:pPr>
        <w:spacing w:before="240" w:after="200" w:line="360" w:lineRule="auto"/>
      </w:pPr>
    </w:p>
    <w:p w14:paraId="198DF7BF" w14:textId="1B737BD0" w:rsidR="00C25E88" w:rsidRDefault="00C25E88" w:rsidP="00A63D2B">
      <w:pPr>
        <w:spacing w:before="240" w:after="200" w:line="360" w:lineRule="auto"/>
        <w:jc w:val="center"/>
      </w:pPr>
    </w:p>
    <w:p w14:paraId="4A962EEF" w14:textId="5F9F6AD9" w:rsidR="004127D7" w:rsidRDefault="00195B35" w:rsidP="006C47EF">
      <w:pPr>
        <w:spacing w:before="240" w:after="200" w:line="360" w:lineRule="auto"/>
      </w:pPr>
      <w:r>
        <w:rPr>
          <w:noProof/>
        </w:rPr>
        <w:lastRenderedPageBreak/>
        <w:drawing>
          <wp:inline distT="0" distB="0" distL="0" distR="0" wp14:anchorId="37063FB7" wp14:editId="2CE898CF">
            <wp:extent cx="9406138" cy="465375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7696" cy="4664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8A156A" w14:textId="481EA179" w:rsidR="00C57D68" w:rsidRDefault="00195B35" w:rsidP="00A63D2B">
      <w:pPr>
        <w:spacing w:before="240" w:after="200"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A25725A" wp14:editId="453F055D">
            <wp:extent cx="9210675" cy="5686425"/>
            <wp:effectExtent l="0" t="0" r="0" b="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B9473FF-BC05-40CA-BCFE-72CAC1C6EF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99853C6" w14:textId="7A6E8042" w:rsidR="00C25E88" w:rsidRDefault="00195B35" w:rsidP="00A63D2B">
      <w:pPr>
        <w:spacing w:before="240" w:after="20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7C3B6872" wp14:editId="1C19FAB1">
            <wp:extent cx="9239250" cy="5800725"/>
            <wp:effectExtent l="0" t="0" r="0" b="0"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id="{D8B64F89-1882-42DF-A860-BDFEE4A33A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C25E88" w:rsidSect="001907F7">
      <w:headerReference w:type="default" r:id="rId11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76091" w14:textId="77777777" w:rsidR="001605AF" w:rsidRDefault="001605AF">
      <w:r>
        <w:separator/>
      </w:r>
    </w:p>
  </w:endnote>
  <w:endnote w:type="continuationSeparator" w:id="0">
    <w:p w14:paraId="23A139D6" w14:textId="77777777" w:rsidR="001605AF" w:rsidRDefault="00160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8C661" w14:textId="77777777" w:rsidR="001605AF" w:rsidRDefault="001605AF">
      <w:r>
        <w:separator/>
      </w:r>
    </w:p>
  </w:footnote>
  <w:footnote w:type="continuationSeparator" w:id="0">
    <w:p w14:paraId="2578E2F1" w14:textId="77777777" w:rsidR="001605AF" w:rsidRDefault="00160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DA5E7" w14:textId="7FBB6FD7" w:rsidR="00B94691" w:rsidRDefault="00B94691" w:rsidP="001907F7">
    <w:pPr>
      <w:pStyle w:val="Encabezado"/>
      <w:jc w:val="right"/>
      <w:rPr>
        <w:lang w:val="es-CR"/>
      </w:rPr>
    </w:pPr>
    <w:r>
      <w:rPr>
        <w:lang w:val="es-CR"/>
      </w:rPr>
      <w:t>In</w:t>
    </w:r>
    <w:r w:rsidR="00B2601E">
      <w:rPr>
        <w:lang w:val="es-CR"/>
      </w:rPr>
      <w:t>formes</w:t>
    </w:r>
    <w:r>
      <w:rPr>
        <w:lang w:val="es-CR"/>
      </w:rPr>
      <w:t xml:space="preserve"> de Gestión</w:t>
    </w:r>
  </w:p>
  <w:p w14:paraId="17126A55" w14:textId="2D8AB4FD" w:rsidR="00B94691" w:rsidRDefault="00401D8C" w:rsidP="00D14D3C">
    <w:pPr>
      <w:pStyle w:val="Encabezado"/>
      <w:pBdr>
        <w:bottom w:val="single" w:sz="4" w:space="1" w:color="auto"/>
      </w:pBdr>
      <w:jc w:val="right"/>
      <w:rPr>
        <w:lang w:val="es-CR"/>
      </w:rPr>
    </w:pPr>
    <w:r>
      <w:rPr>
        <w:lang w:val="es-CR"/>
      </w:rPr>
      <w:t>Informe de</w:t>
    </w:r>
    <w:r w:rsidR="00757D10">
      <w:rPr>
        <w:lang w:val="es-CR"/>
      </w:rPr>
      <w:t xml:space="preserve"> </w:t>
    </w:r>
    <w:r w:rsidR="00C6071C">
      <w:rPr>
        <w:lang w:val="es-CR"/>
      </w:rPr>
      <w:t>ju</w:t>
    </w:r>
    <w:r w:rsidR="001F72D0">
      <w:rPr>
        <w:lang w:val="es-CR"/>
      </w:rPr>
      <w:t>l</w:t>
    </w:r>
    <w:r w:rsidR="00C6071C">
      <w:rPr>
        <w:lang w:val="es-CR"/>
      </w:rPr>
      <w:t>io</w:t>
    </w:r>
    <w:r w:rsidR="002F02A1">
      <w:rPr>
        <w:lang w:val="es-CR"/>
      </w:rPr>
      <w:t xml:space="preserve"> 202</w:t>
    </w:r>
    <w:r w:rsidR="00E63A12">
      <w:rPr>
        <w:lang w:val="es-CR"/>
      </w:rPr>
      <w:t>2</w:t>
    </w:r>
  </w:p>
  <w:p w14:paraId="3886096F" w14:textId="77777777" w:rsidR="00B94691" w:rsidRPr="001907F7" w:rsidRDefault="00B94691">
    <w:pPr>
      <w:pStyle w:val="Encabezado"/>
      <w:rPr>
        <w:lang w:val="es-C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608B1"/>
    <w:multiLevelType w:val="hybridMultilevel"/>
    <w:tmpl w:val="117063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70D8A"/>
    <w:multiLevelType w:val="hybridMultilevel"/>
    <w:tmpl w:val="98AA44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7F7"/>
    <w:rsid w:val="00010788"/>
    <w:rsid w:val="0002583D"/>
    <w:rsid w:val="000363BD"/>
    <w:rsid w:val="00036A07"/>
    <w:rsid w:val="00044B1D"/>
    <w:rsid w:val="0004537E"/>
    <w:rsid w:val="00051F2A"/>
    <w:rsid w:val="000521DE"/>
    <w:rsid w:val="00057217"/>
    <w:rsid w:val="00071426"/>
    <w:rsid w:val="00072852"/>
    <w:rsid w:val="000738CA"/>
    <w:rsid w:val="00074774"/>
    <w:rsid w:val="00076850"/>
    <w:rsid w:val="000809F7"/>
    <w:rsid w:val="000815D2"/>
    <w:rsid w:val="00090B78"/>
    <w:rsid w:val="000B4250"/>
    <w:rsid w:val="000C0522"/>
    <w:rsid w:val="000C43D5"/>
    <w:rsid w:val="000C5848"/>
    <w:rsid w:val="000D2072"/>
    <w:rsid w:val="000D6F45"/>
    <w:rsid w:val="000E31A7"/>
    <w:rsid w:val="000F27E5"/>
    <w:rsid w:val="000F79AB"/>
    <w:rsid w:val="00101164"/>
    <w:rsid w:val="00103ECF"/>
    <w:rsid w:val="001041D8"/>
    <w:rsid w:val="001046D6"/>
    <w:rsid w:val="00106561"/>
    <w:rsid w:val="001101D8"/>
    <w:rsid w:val="0011439B"/>
    <w:rsid w:val="00116FCA"/>
    <w:rsid w:val="001204A1"/>
    <w:rsid w:val="001228FB"/>
    <w:rsid w:val="00123450"/>
    <w:rsid w:val="0014438C"/>
    <w:rsid w:val="00144533"/>
    <w:rsid w:val="001464C1"/>
    <w:rsid w:val="001530C9"/>
    <w:rsid w:val="00153E90"/>
    <w:rsid w:val="00154A5B"/>
    <w:rsid w:val="001605AF"/>
    <w:rsid w:val="0016079A"/>
    <w:rsid w:val="00162ACA"/>
    <w:rsid w:val="00162E55"/>
    <w:rsid w:val="00163475"/>
    <w:rsid w:val="001677B6"/>
    <w:rsid w:val="0017049A"/>
    <w:rsid w:val="0017318F"/>
    <w:rsid w:val="00173BCD"/>
    <w:rsid w:val="001824B1"/>
    <w:rsid w:val="001865E8"/>
    <w:rsid w:val="001875BA"/>
    <w:rsid w:val="00190628"/>
    <w:rsid w:val="001907F7"/>
    <w:rsid w:val="00191BD3"/>
    <w:rsid w:val="0019306D"/>
    <w:rsid w:val="00195B35"/>
    <w:rsid w:val="001973B5"/>
    <w:rsid w:val="001A4C64"/>
    <w:rsid w:val="001A6067"/>
    <w:rsid w:val="001A6191"/>
    <w:rsid w:val="001B0E61"/>
    <w:rsid w:val="001B49F6"/>
    <w:rsid w:val="001B6814"/>
    <w:rsid w:val="001C21DF"/>
    <w:rsid w:val="001C2F7F"/>
    <w:rsid w:val="001C4505"/>
    <w:rsid w:val="001D0703"/>
    <w:rsid w:val="001D2879"/>
    <w:rsid w:val="001D33CC"/>
    <w:rsid w:val="001D4782"/>
    <w:rsid w:val="001E0602"/>
    <w:rsid w:val="001E5935"/>
    <w:rsid w:val="001F440E"/>
    <w:rsid w:val="001F72D0"/>
    <w:rsid w:val="001F7794"/>
    <w:rsid w:val="00201A07"/>
    <w:rsid w:val="00201BB0"/>
    <w:rsid w:val="00202958"/>
    <w:rsid w:val="00205D3D"/>
    <w:rsid w:val="00205E69"/>
    <w:rsid w:val="00205E74"/>
    <w:rsid w:val="002214C2"/>
    <w:rsid w:val="00223E12"/>
    <w:rsid w:val="00226C83"/>
    <w:rsid w:val="00234E92"/>
    <w:rsid w:val="00245F03"/>
    <w:rsid w:val="00251787"/>
    <w:rsid w:val="00251C90"/>
    <w:rsid w:val="00261195"/>
    <w:rsid w:val="002702BD"/>
    <w:rsid w:val="00270CF7"/>
    <w:rsid w:val="00281EC7"/>
    <w:rsid w:val="002878FA"/>
    <w:rsid w:val="0029140B"/>
    <w:rsid w:val="00291B17"/>
    <w:rsid w:val="002A2B18"/>
    <w:rsid w:val="002C5336"/>
    <w:rsid w:val="002E18E4"/>
    <w:rsid w:val="002E1D28"/>
    <w:rsid w:val="002E218F"/>
    <w:rsid w:val="002F02A1"/>
    <w:rsid w:val="002F1DED"/>
    <w:rsid w:val="002F1FA9"/>
    <w:rsid w:val="003012D2"/>
    <w:rsid w:val="00301E66"/>
    <w:rsid w:val="00302DD1"/>
    <w:rsid w:val="00314E32"/>
    <w:rsid w:val="003202C1"/>
    <w:rsid w:val="00320842"/>
    <w:rsid w:val="0033037A"/>
    <w:rsid w:val="00331232"/>
    <w:rsid w:val="00334842"/>
    <w:rsid w:val="00334AB9"/>
    <w:rsid w:val="00334EA3"/>
    <w:rsid w:val="00335213"/>
    <w:rsid w:val="00342E6E"/>
    <w:rsid w:val="00344722"/>
    <w:rsid w:val="00344FFD"/>
    <w:rsid w:val="00346A1F"/>
    <w:rsid w:val="0035286B"/>
    <w:rsid w:val="00364C54"/>
    <w:rsid w:val="00366801"/>
    <w:rsid w:val="0036794D"/>
    <w:rsid w:val="00371582"/>
    <w:rsid w:val="00371CD9"/>
    <w:rsid w:val="00372D57"/>
    <w:rsid w:val="0037379B"/>
    <w:rsid w:val="00381C60"/>
    <w:rsid w:val="00386683"/>
    <w:rsid w:val="00386AB9"/>
    <w:rsid w:val="00390FB7"/>
    <w:rsid w:val="003937DF"/>
    <w:rsid w:val="00394AF5"/>
    <w:rsid w:val="00394DF2"/>
    <w:rsid w:val="00396463"/>
    <w:rsid w:val="003A1742"/>
    <w:rsid w:val="003C1160"/>
    <w:rsid w:val="003C5344"/>
    <w:rsid w:val="003D0743"/>
    <w:rsid w:val="003D137C"/>
    <w:rsid w:val="003D1658"/>
    <w:rsid w:val="003D3795"/>
    <w:rsid w:val="003E0302"/>
    <w:rsid w:val="003E13DD"/>
    <w:rsid w:val="003E4C8D"/>
    <w:rsid w:val="003F580D"/>
    <w:rsid w:val="00401D8C"/>
    <w:rsid w:val="00404ACE"/>
    <w:rsid w:val="004127D7"/>
    <w:rsid w:val="00413EE0"/>
    <w:rsid w:val="004204F2"/>
    <w:rsid w:val="00432735"/>
    <w:rsid w:val="00432AD9"/>
    <w:rsid w:val="004371C7"/>
    <w:rsid w:val="00443180"/>
    <w:rsid w:val="004434C2"/>
    <w:rsid w:val="00443ED9"/>
    <w:rsid w:val="004537BB"/>
    <w:rsid w:val="00454077"/>
    <w:rsid w:val="00471F96"/>
    <w:rsid w:val="00476031"/>
    <w:rsid w:val="00477744"/>
    <w:rsid w:val="00481393"/>
    <w:rsid w:val="0048207E"/>
    <w:rsid w:val="00484225"/>
    <w:rsid w:val="00487A6E"/>
    <w:rsid w:val="004A2BAD"/>
    <w:rsid w:val="004A5104"/>
    <w:rsid w:val="004B2FC6"/>
    <w:rsid w:val="004B6F1A"/>
    <w:rsid w:val="004C30E2"/>
    <w:rsid w:val="004C4783"/>
    <w:rsid w:val="004C6E0A"/>
    <w:rsid w:val="004D0744"/>
    <w:rsid w:val="004D6114"/>
    <w:rsid w:val="004E0DA6"/>
    <w:rsid w:val="004E3978"/>
    <w:rsid w:val="004F1E9D"/>
    <w:rsid w:val="005006E7"/>
    <w:rsid w:val="0050207B"/>
    <w:rsid w:val="00502F06"/>
    <w:rsid w:val="0050506F"/>
    <w:rsid w:val="0050711D"/>
    <w:rsid w:val="00507841"/>
    <w:rsid w:val="0051616D"/>
    <w:rsid w:val="00520B18"/>
    <w:rsid w:val="00523DF8"/>
    <w:rsid w:val="00524E92"/>
    <w:rsid w:val="00526068"/>
    <w:rsid w:val="00527EC2"/>
    <w:rsid w:val="00545EE0"/>
    <w:rsid w:val="00565DF7"/>
    <w:rsid w:val="0057489C"/>
    <w:rsid w:val="00581A3A"/>
    <w:rsid w:val="00581E35"/>
    <w:rsid w:val="0058783A"/>
    <w:rsid w:val="00590F47"/>
    <w:rsid w:val="005A3C5A"/>
    <w:rsid w:val="005A4903"/>
    <w:rsid w:val="005B310D"/>
    <w:rsid w:val="005B4BB4"/>
    <w:rsid w:val="005B5802"/>
    <w:rsid w:val="005C1065"/>
    <w:rsid w:val="005C7BEE"/>
    <w:rsid w:val="005D6FBF"/>
    <w:rsid w:val="005E1B76"/>
    <w:rsid w:val="005E7F1B"/>
    <w:rsid w:val="00600C9E"/>
    <w:rsid w:val="0060246A"/>
    <w:rsid w:val="00604545"/>
    <w:rsid w:val="00605DA1"/>
    <w:rsid w:val="00615668"/>
    <w:rsid w:val="00623FB5"/>
    <w:rsid w:val="00625C91"/>
    <w:rsid w:val="006269A6"/>
    <w:rsid w:val="00626EAE"/>
    <w:rsid w:val="00637683"/>
    <w:rsid w:val="006420E5"/>
    <w:rsid w:val="006437EB"/>
    <w:rsid w:val="00657FF2"/>
    <w:rsid w:val="00661F49"/>
    <w:rsid w:val="00672A65"/>
    <w:rsid w:val="006844F7"/>
    <w:rsid w:val="0068649B"/>
    <w:rsid w:val="006875D0"/>
    <w:rsid w:val="00691860"/>
    <w:rsid w:val="00694202"/>
    <w:rsid w:val="006A3E6C"/>
    <w:rsid w:val="006A4942"/>
    <w:rsid w:val="006A7D0D"/>
    <w:rsid w:val="006B09F7"/>
    <w:rsid w:val="006B3803"/>
    <w:rsid w:val="006C403B"/>
    <w:rsid w:val="006C47EF"/>
    <w:rsid w:val="006C5989"/>
    <w:rsid w:val="006C75DC"/>
    <w:rsid w:val="006D132F"/>
    <w:rsid w:val="006D3F4B"/>
    <w:rsid w:val="006D6076"/>
    <w:rsid w:val="006E1CB8"/>
    <w:rsid w:val="006E3219"/>
    <w:rsid w:val="006E6392"/>
    <w:rsid w:val="006F0045"/>
    <w:rsid w:val="006F1B39"/>
    <w:rsid w:val="00705E7A"/>
    <w:rsid w:val="007111D6"/>
    <w:rsid w:val="00715EBB"/>
    <w:rsid w:val="007176A7"/>
    <w:rsid w:val="007300E1"/>
    <w:rsid w:val="00734B8F"/>
    <w:rsid w:val="00745F78"/>
    <w:rsid w:val="00746FC4"/>
    <w:rsid w:val="007555C0"/>
    <w:rsid w:val="00757533"/>
    <w:rsid w:val="00757D10"/>
    <w:rsid w:val="00761F83"/>
    <w:rsid w:val="007672B4"/>
    <w:rsid w:val="00767B83"/>
    <w:rsid w:val="00781344"/>
    <w:rsid w:val="0078319B"/>
    <w:rsid w:val="00792670"/>
    <w:rsid w:val="00794B03"/>
    <w:rsid w:val="00794F45"/>
    <w:rsid w:val="007A1CED"/>
    <w:rsid w:val="007A4B48"/>
    <w:rsid w:val="007A4BD7"/>
    <w:rsid w:val="007A5B94"/>
    <w:rsid w:val="007B7490"/>
    <w:rsid w:val="007C0F68"/>
    <w:rsid w:val="007C1A31"/>
    <w:rsid w:val="007C1F78"/>
    <w:rsid w:val="007D6C5E"/>
    <w:rsid w:val="007E1A2D"/>
    <w:rsid w:val="007E3964"/>
    <w:rsid w:val="007E578F"/>
    <w:rsid w:val="007E706B"/>
    <w:rsid w:val="007F0E24"/>
    <w:rsid w:val="007F3927"/>
    <w:rsid w:val="007F53CE"/>
    <w:rsid w:val="007F78BA"/>
    <w:rsid w:val="00800E23"/>
    <w:rsid w:val="0080100C"/>
    <w:rsid w:val="00811BEA"/>
    <w:rsid w:val="00811C9C"/>
    <w:rsid w:val="008137A0"/>
    <w:rsid w:val="00813A04"/>
    <w:rsid w:val="008147F2"/>
    <w:rsid w:val="00814FD2"/>
    <w:rsid w:val="00834825"/>
    <w:rsid w:val="00835369"/>
    <w:rsid w:val="00840A99"/>
    <w:rsid w:val="00846CF4"/>
    <w:rsid w:val="00856A6A"/>
    <w:rsid w:val="00864B48"/>
    <w:rsid w:val="00870960"/>
    <w:rsid w:val="00871D22"/>
    <w:rsid w:val="008750C2"/>
    <w:rsid w:val="008835AD"/>
    <w:rsid w:val="0088400E"/>
    <w:rsid w:val="00884444"/>
    <w:rsid w:val="0088505B"/>
    <w:rsid w:val="0088663C"/>
    <w:rsid w:val="00892182"/>
    <w:rsid w:val="008967D5"/>
    <w:rsid w:val="008A6CF5"/>
    <w:rsid w:val="008B4643"/>
    <w:rsid w:val="008B6115"/>
    <w:rsid w:val="008C4639"/>
    <w:rsid w:val="008C4DB4"/>
    <w:rsid w:val="008D04F8"/>
    <w:rsid w:val="008D07BB"/>
    <w:rsid w:val="008D451B"/>
    <w:rsid w:val="008D56B6"/>
    <w:rsid w:val="008D5739"/>
    <w:rsid w:val="008D57D8"/>
    <w:rsid w:val="008F0276"/>
    <w:rsid w:val="008F2779"/>
    <w:rsid w:val="008F3246"/>
    <w:rsid w:val="008F3B19"/>
    <w:rsid w:val="009050D8"/>
    <w:rsid w:val="00912BDE"/>
    <w:rsid w:val="00913DA1"/>
    <w:rsid w:val="00914705"/>
    <w:rsid w:val="0092756E"/>
    <w:rsid w:val="00932714"/>
    <w:rsid w:val="00937ACE"/>
    <w:rsid w:val="00943CF6"/>
    <w:rsid w:val="00951F1B"/>
    <w:rsid w:val="00953089"/>
    <w:rsid w:val="00957F30"/>
    <w:rsid w:val="00960A4E"/>
    <w:rsid w:val="00965E17"/>
    <w:rsid w:val="00971755"/>
    <w:rsid w:val="0097208A"/>
    <w:rsid w:val="00974E2C"/>
    <w:rsid w:val="00987573"/>
    <w:rsid w:val="009A7BBC"/>
    <w:rsid w:val="009B02AD"/>
    <w:rsid w:val="009B4B70"/>
    <w:rsid w:val="009C4441"/>
    <w:rsid w:val="009D0097"/>
    <w:rsid w:val="009D07A3"/>
    <w:rsid w:val="009D1FF9"/>
    <w:rsid w:val="009E1EA2"/>
    <w:rsid w:val="009E436F"/>
    <w:rsid w:val="009F509D"/>
    <w:rsid w:val="009F5802"/>
    <w:rsid w:val="009F7BFF"/>
    <w:rsid w:val="00A01812"/>
    <w:rsid w:val="00A02C8D"/>
    <w:rsid w:val="00A041BC"/>
    <w:rsid w:val="00A051CB"/>
    <w:rsid w:val="00A14D78"/>
    <w:rsid w:val="00A16002"/>
    <w:rsid w:val="00A168C2"/>
    <w:rsid w:val="00A17180"/>
    <w:rsid w:val="00A22CB5"/>
    <w:rsid w:val="00A2347A"/>
    <w:rsid w:val="00A24CE7"/>
    <w:rsid w:val="00A326C3"/>
    <w:rsid w:val="00A33EF8"/>
    <w:rsid w:val="00A54144"/>
    <w:rsid w:val="00A6156D"/>
    <w:rsid w:val="00A63D2B"/>
    <w:rsid w:val="00A64CD7"/>
    <w:rsid w:val="00A73102"/>
    <w:rsid w:val="00A77C28"/>
    <w:rsid w:val="00AA05A9"/>
    <w:rsid w:val="00AA0958"/>
    <w:rsid w:val="00AA141B"/>
    <w:rsid w:val="00AB4E33"/>
    <w:rsid w:val="00AD1A57"/>
    <w:rsid w:val="00AD3038"/>
    <w:rsid w:val="00AD7354"/>
    <w:rsid w:val="00AE0CA3"/>
    <w:rsid w:val="00AE1202"/>
    <w:rsid w:val="00B02AD0"/>
    <w:rsid w:val="00B2116D"/>
    <w:rsid w:val="00B22929"/>
    <w:rsid w:val="00B2410F"/>
    <w:rsid w:val="00B2601E"/>
    <w:rsid w:val="00B310DD"/>
    <w:rsid w:val="00B31888"/>
    <w:rsid w:val="00B35EAE"/>
    <w:rsid w:val="00B3709C"/>
    <w:rsid w:val="00B46BC7"/>
    <w:rsid w:val="00B53650"/>
    <w:rsid w:val="00B65FEE"/>
    <w:rsid w:val="00B70A99"/>
    <w:rsid w:val="00B72162"/>
    <w:rsid w:val="00B76722"/>
    <w:rsid w:val="00B832ED"/>
    <w:rsid w:val="00B832F5"/>
    <w:rsid w:val="00B85F8E"/>
    <w:rsid w:val="00B91404"/>
    <w:rsid w:val="00B94691"/>
    <w:rsid w:val="00BA2560"/>
    <w:rsid w:val="00BA415A"/>
    <w:rsid w:val="00BA72AE"/>
    <w:rsid w:val="00BB45FE"/>
    <w:rsid w:val="00BB662F"/>
    <w:rsid w:val="00BC0FF3"/>
    <w:rsid w:val="00BC2680"/>
    <w:rsid w:val="00BC7F17"/>
    <w:rsid w:val="00C11D19"/>
    <w:rsid w:val="00C25E88"/>
    <w:rsid w:val="00C32C65"/>
    <w:rsid w:val="00C35BC4"/>
    <w:rsid w:val="00C4721E"/>
    <w:rsid w:val="00C5525A"/>
    <w:rsid w:val="00C57D68"/>
    <w:rsid w:val="00C6071C"/>
    <w:rsid w:val="00C72E23"/>
    <w:rsid w:val="00C86537"/>
    <w:rsid w:val="00C86C2F"/>
    <w:rsid w:val="00CA3FFC"/>
    <w:rsid w:val="00CA7B4D"/>
    <w:rsid w:val="00CB2156"/>
    <w:rsid w:val="00CB346D"/>
    <w:rsid w:val="00CB5DEA"/>
    <w:rsid w:val="00CC1B05"/>
    <w:rsid w:val="00CD27E2"/>
    <w:rsid w:val="00CE0594"/>
    <w:rsid w:val="00CE3340"/>
    <w:rsid w:val="00CE60BB"/>
    <w:rsid w:val="00D06236"/>
    <w:rsid w:val="00D0650F"/>
    <w:rsid w:val="00D11228"/>
    <w:rsid w:val="00D11B4E"/>
    <w:rsid w:val="00D14D3C"/>
    <w:rsid w:val="00D16B8F"/>
    <w:rsid w:val="00D20032"/>
    <w:rsid w:val="00D22129"/>
    <w:rsid w:val="00D322DB"/>
    <w:rsid w:val="00D46A58"/>
    <w:rsid w:val="00D54FC4"/>
    <w:rsid w:val="00D62546"/>
    <w:rsid w:val="00D67360"/>
    <w:rsid w:val="00D716DC"/>
    <w:rsid w:val="00D71F37"/>
    <w:rsid w:val="00D80A1E"/>
    <w:rsid w:val="00D82A67"/>
    <w:rsid w:val="00D82F69"/>
    <w:rsid w:val="00D85BF3"/>
    <w:rsid w:val="00DA04D3"/>
    <w:rsid w:val="00DA2CE0"/>
    <w:rsid w:val="00DA376C"/>
    <w:rsid w:val="00DB4FF8"/>
    <w:rsid w:val="00DB58EE"/>
    <w:rsid w:val="00DB7FFE"/>
    <w:rsid w:val="00DD74C6"/>
    <w:rsid w:val="00DD7581"/>
    <w:rsid w:val="00DE02BC"/>
    <w:rsid w:val="00DE3A39"/>
    <w:rsid w:val="00DF7590"/>
    <w:rsid w:val="00E05E9B"/>
    <w:rsid w:val="00E0689B"/>
    <w:rsid w:val="00E15F3E"/>
    <w:rsid w:val="00E172D1"/>
    <w:rsid w:val="00E2762C"/>
    <w:rsid w:val="00E4096D"/>
    <w:rsid w:val="00E463CC"/>
    <w:rsid w:val="00E46DE6"/>
    <w:rsid w:val="00E51149"/>
    <w:rsid w:val="00E551B8"/>
    <w:rsid w:val="00E60AF7"/>
    <w:rsid w:val="00E63373"/>
    <w:rsid w:val="00E63A12"/>
    <w:rsid w:val="00E721F2"/>
    <w:rsid w:val="00E7358A"/>
    <w:rsid w:val="00E821E2"/>
    <w:rsid w:val="00E84D02"/>
    <w:rsid w:val="00E85061"/>
    <w:rsid w:val="00E852AC"/>
    <w:rsid w:val="00E8633E"/>
    <w:rsid w:val="00E9347F"/>
    <w:rsid w:val="00E9469B"/>
    <w:rsid w:val="00E964DE"/>
    <w:rsid w:val="00EA3E47"/>
    <w:rsid w:val="00EA7AE1"/>
    <w:rsid w:val="00EB0823"/>
    <w:rsid w:val="00EB1095"/>
    <w:rsid w:val="00EC1F92"/>
    <w:rsid w:val="00EC2405"/>
    <w:rsid w:val="00EC6AF3"/>
    <w:rsid w:val="00EC7419"/>
    <w:rsid w:val="00EC7872"/>
    <w:rsid w:val="00ED1634"/>
    <w:rsid w:val="00ED6605"/>
    <w:rsid w:val="00EF0C2F"/>
    <w:rsid w:val="00EF4D54"/>
    <w:rsid w:val="00EF5809"/>
    <w:rsid w:val="00EF59E2"/>
    <w:rsid w:val="00F11DAF"/>
    <w:rsid w:val="00F1418A"/>
    <w:rsid w:val="00F14AD4"/>
    <w:rsid w:val="00F155E1"/>
    <w:rsid w:val="00F156EE"/>
    <w:rsid w:val="00F172E1"/>
    <w:rsid w:val="00F23825"/>
    <w:rsid w:val="00F23A70"/>
    <w:rsid w:val="00F23D84"/>
    <w:rsid w:val="00F24DE9"/>
    <w:rsid w:val="00F31204"/>
    <w:rsid w:val="00F3408D"/>
    <w:rsid w:val="00F35493"/>
    <w:rsid w:val="00F37687"/>
    <w:rsid w:val="00F40729"/>
    <w:rsid w:val="00F44064"/>
    <w:rsid w:val="00F516AD"/>
    <w:rsid w:val="00F675D5"/>
    <w:rsid w:val="00F74DF6"/>
    <w:rsid w:val="00F765CC"/>
    <w:rsid w:val="00F82A89"/>
    <w:rsid w:val="00F8710E"/>
    <w:rsid w:val="00F961F7"/>
    <w:rsid w:val="00F97123"/>
    <w:rsid w:val="00F97A91"/>
    <w:rsid w:val="00FA0748"/>
    <w:rsid w:val="00FA55D0"/>
    <w:rsid w:val="00FA6874"/>
    <w:rsid w:val="00FA6F39"/>
    <w:rsid w:val="00FB2B40"/>
    <w:rsid w:val="00FC117F"/>
    <w:rsid w:val="00FC465C"/>
    <w:rsid w:val="00FC68DD"/>
    <w:rsid w:val="00FD0B37"/>
    <w:rsid w:val="00FD21EE"/>
    <w:rsid w:val="00FD4ED7"/>
    <w:rsid w:val="00FE4107"/>
    <w:rsid w:val="00FE6BE7"/>
    <w:rsid w:val="00FF3B58"/>
    <w:rsid w:val="00FF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94E5A5"/>
  <w15:docId w15:val="{07E6BB03-EF64-4BC0-BF45-E58DE657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07F7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907F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907F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A494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7A5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pivotSource>
    <c:name>[(G3, G4) Tiempo de tramitacion Agosto 2017.xls]G3 Análisis!G3TABLA</c:name>
    <c:fmtId val="-1"/>
  </c:pivotSource>
  <c:chart>
    <c:title>
      <c:tx>
        <c:rich>
          <a:bodyPr/>
          <a:lstStyle/>
          <a:p>
            <a:pPr>
              <a:defRPr sz="1400" b="1" i="0" u="none" strike="noStrike" baseline="0">
                <a:latin typeface="Arial"/>
                <a:ea typeface="Arial"/>
                <a:cs typeface="Arial"/>
              </a:defRPr>
            </a:pPr>
            <a:r>
              <a:rPr lang="es-CR"/>
              <a:t>Tiempo de tramitación de expedientes Sala Segunda (2019-2022)</a:t>
            </a:r>
          </a:p>
        </c:rich>
      </c:tx>
      <c:overlay val="0"/>
      <c:spPr>
        <a:noFill/>
        <a:ln w="25400">
          <a:noFill/>
        </a:ln>
        <a:effectLst/>
      </c:spPr>
    </c:title>
    <c:autoTitleDeleted val="0"/>
    <c:pivotFmts>
      <c:pivotFmt>
        <c:idx val="0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'G3 Análisis'!$E$6:$E$7</c:f>
              <c:strCache>
                <c:ptCount val="1"/>
                <c:pt idx="0">
                  <c:v>Promedio de TIEMPO TRAMITACION VOTACION</c:v>
                </c:pt>
              </c:strCache>
            </c:strRef>
          </c:tx>
          <c:spPr>
            <a:solidFill>
              <a:srgbClr val="FFCC00"/>
            </a:solidFill>
            <a:effectLst/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700" b="0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'G3 Análisis'!$C$8:$D$50</c:f>
              <c:multiLvlStrCache>
                <c:ptCount val="43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5</c:v>
                  </c:pt>
                  <c:pt idx="29">
                    <c:v>6</c:v>
                  </c:pt>
                  <c:pt idx="30">
                    <c:v>7</c:v>
                  </c:pt>
                  <c:pt idx="31">
                    <c:v>8</c:v>
                  </c:pt>
                  <c:pt idx="32">
                    <c:v>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  <c:pt idx="39">
                    <c:v>4</c:v>
                  </c:pt>
                  <c:pt idx="40">
                    <c:v>5</c:v>
                  </c:pt>
                  <c:pt idx="41">
                    <c:v>6</c:v>
                  </c:pt>
                  <c:pt idx="42">
                    <c:v>7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'G3 Análisis'!$E$8:$E$50</c:f>
              <c:numCache>
                <c:formatCode>0.0</c:formatCode>
                <c:ptCount val="43"/>
                <c:pt idx="0">
                  <c:v>7.3850837138508378</c:v>
                </c:pt>
                <c:pt idx="1">
                  <c:v>9.2125879303961522</c:v>
                </c:pt>
                <c:pt idx="2">
                  <c:v>9.3910958904109574</c:v>
                </c:pt>
                <c:pt idx="3">
                  <c:v>9.3692054794520505</c:v>
                </c:pt>
                <c:pt idx="4">
                  <c:v>10.752677459526772</c:v>
                </c:pt>
                <c:pt idx="5">
                  <c:v>10.341947426878933</c:v>
                </c:pt>
                <c:pt idx="6">
                  <c:v>10.4464141821112</c:v>
                </c:pt>
                <c:pt idx="7">
                  <c:v>9.9896857373086192</c:v>
                </c:pt>
                <c:pt idx="8">
                  <c:v>10.628722934158198</c:v>
                </c:pt>
                <c:pt idx="9">
                  <c:v>11.067123287671231</c:v>
                </c:pt>
                <c:pt idx="10">
                  <c:v>9.2990516332982054</c:v>
                </c:pt>
                <c:pt idx="11">
                  <c:v>8.2072229140722293</c:v>
                </c:pt>
                <c:pt idx="12">
                  <c:v>10.015829528158299</c:v>
                </c:pt>
                <c:pt idx="13">
                  <c:v>11.428767123287672</c:v>
                </c:pt>
                <c:pt idx="14">
                  <c:v>10.019178082191779</c:v>
                </c:pt>
                <c:pt idx="15">
                  <c:v>10.159843444227006</c:v>
                </c:pt>
                <c:pt idx="16">
                  <c:v>10.394232155731794</c:v>
                </c:pt>
                <c:pt idx="17">
                  <c:v>11.57513171759747</c:v>
                </c:pt>
                <c:pt idx="18">
                  <c:v>11.756947162426615</c:v>
                </c:pt>
                <c:pt idx="19">
                  <c:v>10.438356164383562</c:v>
                </c:pt>
                <c:pt idx="20">
                  <c:v>10.533412745681954</c:v>
                </c:pt>
                <c:pt idx="21">
                  <c:v>10.463013698630137</c:v>
                </c:pt>
                <c:pt idx="22">
                  <c:v>9.628588445503274</c:v>
                </c:pt>
                <c:pt idx="23">
                  <c:v>12.345205479452055</c:v>
                </c:pt>
                <c:pt idx="24">
                  <c:v>10.792085235920851</c:v>
                </c:pt>
                <c:pt idx="25">
                  <c:v>11.433360193392426</c:v>
                </c:pt>
                <c:pt idx="26">
                  <c:v>9.3818181818181809</c:v>
                </c:pt>
                <c:pt idx="27">
                  <c:v>8.4137484433374841</c:v>
                </c:pt>
                <c:pt idx="28">
                  <c:v>10.222363810130615</c:v>
                </c:pt>
                <c:pt idx="29">
                  <c:v>9.2975342465753421</c:v>
                </c:pt>
                <c:pt idx="30">
                  <c:v>9.2493150684931464</c:v>
                </c:pt>
                <c:pt idx="31">
                  <c:v>9.1643835616438309</c:v>
                </c:pt>
                <c:pt idx="32">
                  <c:v>10.172994129158514</c:v>
                </c:pt>
                <c:pt idx="33">
                  <c:v>9.4575342465753423</c:v>
                </c:pt>
                <c:pt idx="34">
                  <c:v>10.165479452054793</c:v>
                </c:pt>
                <c:pt idx="35">
                  <c:v>11.625205479452056</c:v>
                </c:pt>
                <c:pt idx="36">
                  <c:v>9.887291886195996</c:v>
                </c:pt>
                <c:pt idx="37">
                  <c:v>9.0152641878669275</c:v>
                </c:pt>
                <c:pt idx="38">
                  <c:v>10.263622526636228</c:v>
                </c:pt>
                <c:pt idx="39">
                  <c:v>8.7287671232876729</c:v>
                </c:pt>
                <c:pt idx="40">
                  <c:v>9.0971796937953258</c:v>
                </c:pt>
                <c:pt idx="41">
                  <c:v>8.9437302423603757</c:v>
                </c:pt>
                <c:pt idx="42">
                  <c:v>9.3913043478260878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DB-4447-A0DA-DF1529BCA0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76427280"/>
        <c:axId val="1"/>
      </c:barChart>
      <c:lineChart>
        <c:grouping val="standard"/>
        <c:varyColors val="0"/>
        <c:ser>
          <c:idx val="1"/>
          <c:order val="1"/>
          <c:tx>
            <c:strRef>
              <c:f>'G3 Análisis'!$F$6:$F$7</c:f>
              <c:strCache>
                <c:ptCount val="1"/>
                <c:pt idx="0">
                  <c:v>Promedio de TIEMPO TRAMITACION DEVOLUCION</c:v>
                </c:pt>
              </c:strCache>
            </c:strRef>
          </c:tx>
          <c:spPr>
            <a:ln w="25400">
              <a:solidFill>
                <a:srgbClr val="800000"/>
              </a:solidFill>
              <a:prstDash val="solid"/>
            </a:ln>
            <a:effectLst/>
          </c:spPr>
          <c:marker>
            <c:symbol val="circle"/>
            <c:size val="5"/>
            <c:spPr>
              <a:solidFill>
                <a:srgbClr val="FFFFFF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dLbls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800" b="0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'G3 Análisis'!$C$8:$D$50</c:f>
              <c:multiLvlStrCache>
                <c:ptCount val="43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5</c:v>
                  </c:pt>
                  <c:pt idx="29">
                    <c:v>6</c:v>
                  </c:pt>
                  <c:pt idx="30">
                    <c:v>7</c:v>
                  </c:pt>
                  <c:pt idx="31">
                    <c:v>8</c:v>
                  </c:pt>
                  <c:pt idx="32">
                    <c:v>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  <c:pt idx="39">
                    <c:v>4</c:v>
                  </c:pt>
                  <c:pt idx="40">
                    <c:v>5</c:v>
                  </c:pt>
                  <c:pt idx="41">
                    <c:v>6</c:v>
                  </c:pt>
                  <c:pt idx="42">
                    <c:v>7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'G3 Análisis'!$F$8:$F$50</c:f>
              <c:numCache>
                <c:formatCode>0.0</c:formatCode>
                <c:ptCount val="43"/>
                <c:pt idx="0">
                  <c:v>8.3612524461839524</c:v>
                </c:pt>
                <c:pt idx="1">
                  <c:v>10.056902002107483</c:v>
                </c:pt>
                <c:pt idx="2">
                  <c:v>10.422475040631525</c:v>
                </c:pt>
                <c:pt idx="3">
                  <c:v>11.511361804995971</c:v>
                </c:pt>
                <c:pt idx="4">
                  <c:v>11.52586235352368</c:v>
                </c:pt>
                <c:pt idx="5">
                  <c:v>10.782622309197652</c:v>
                </c:pt>
                <c:pt idx="6">
                  <c:v>11.137434620174346</c:v>
                </c:pt>
                <c:pt idx="7">
                  <c:v>10.155182217627296</c:v>
                </c:pt>
                <c:pt idx="8">
                  <c:v>12.311614055985705</c:v>
                </c:pt>
                <c:pt idx="9">
                  <c:v>11.302117061021171</c:v>
                </c:pt>
                <c:pt idx="10">
                  <c:v>10.288916562889165</c:v>
                </c:pt>
                <c:pt idx="11">
                  <c:v>10.704657534246577</c:v>
                </c:pt>
                <c:pt idx="12">
                  <c:v>10.713782499301091</c:v>
                </c:pt>
                <c:pt idx="13">
                  <c:v>12.171970495258167</c:v>
                </c:pt>
                <c:pt idx="14">
                  <c:v>10.652054794520549</c:v>
                </c:pt>
                <c:pt idx="15">
                  <c:v>11.809315068493149</c:v>
                </c:pt>
                <c:pt idx="16">
                  <c:v>11.405230386052303</c:v>
                </c:pt>
                <c:pt idx="17">
                  <c:v>13.438988408851422</c:v>
                </c:pt>
                <c:pt idx="18">
                  <c:v>11.625831702544033</c:v>
                </c:pt>
                <c:pt idx="19">
                  <c:v>11.272844480257854</c:v>
                </c:pt>
                <c:pt idx="20">
                  <c:v>9.8149631190727078</c:v>
                </c:pt>
                <c:pt idx="21">
                  <c:v>11.001053740779769</c:v>
                </c:pt>
                <c:pt idx="22">
                  <c:v>10.550435865504356</c:v>
                </c:pt>
                <c:pt idx="23">
                  <c:v>14.021917808219179</c:v>
                </c:pt>
                <c:pt idx="24">
                  <c:v>10.922540473225403</c:v>
                </c:pt>
                <c:pt idx="25">
                  <c:v>11.271232876712329</c:v>
                </c:pt>
                <c:pt idx="26">
                  <c:v>10.474133763094281</c:v>
                </c:pt>
                <c:pt idx="27">
                  <c:v>9.801439517065246</c:v>
                </c:pt>
                <c:pt idx="28">
                  <c:v>11.618898518311434</c:v>
                </c:pt>
                <c:pt idx="29">
                  <c:v>11.390516332982084</c:v>
                </c:pt>
                <c:pt idx="30">
                  <c:v>10.348630136986301</c:v>
                </c:pt>
                <c:pt idx="31">
                  <c:v>10.294378837978268</c:v>
                </c:pt>
                <c:pt idx="32">
                  <c:v>10.953746978243352</c:v>
                </c:pt>
                <c:pt idx="33">
                  <c:v>9.0479452054794525</c:v>
                </c:pt>
                <c:pt idx="34">
                  <c:v>10.245205479452055</c:v>
                </c:pt>
                <c:pt idx="35">
                  <c:v>12.572994129158513</c:v>
                </c:pt>
                <c:pt idx="36">
                  <c:v>10.764058509403297</c:v>
                </c:pt>
                <c:pt idx="37">
                  <c:v>10.093150684931507</c:v>
                </c:pt>
                <c:pt idx="38">
                  <c:v>10.803287671232878</c:v>
                </c:pt>
                <c:pt idx="39">
                  <c:v>8.792738075590032</c:v>
                </c:pt>
                <c:pt idx="40">
                  <c:v>9.4705739552627026</c:v>
                </c:pt>
                <c:pt idx="41">
                  <c:v>9.2123606244026757</c:v>
                </c:pt>
                <c:pt idx="42">
                  <c:v>9.5785919082510347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9DB-4447-A0DA-DF1529BCA0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76427280"/>
        <c:axId val="1"/>
      </c:lineChart>
      <c:catAx>
        <c:axId val="6764272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Meses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80808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Duración (meses)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676427280"/>
        <c:crosses val="autoZero"/>
        <c:crossBetween val="between"/>
      </c:valAx>
      <c:spPr>
        <a:solidFill>
          <a:srgbClr val="FFFFFF"/>
        </a:solidFill>
        <a:ln w="25400">
          <a:noFill/>
        </a:ln>
      </c:spPr>
    </c:plotArea>
    <c:legend>
      <c:legendPos val="t"/>
      <c:overlay val="0"/>
      <c:spPr>
        <a:noFill/>
        <a:ln w="25400">
          <a:noFill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s-CR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CR"/>
    </a:p>
  </c:txPr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</c:extLst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[(G3, G4) Tiempo de tramitacion Agosto 2017.xls]G4 Análisis!Tabla dinámica1</c:name>
    <c:fmtId val="-1"/>
  </c:pivotSource>
  <c:chart>
    <c:title>
      <c:tx>
        <c:rich>
          <a:bodyPr/>
          <a:lstStyle/>
          <a:p>
            <a:pPr>
              <a:defRPr sz="1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s-CR"/>
              <a:t>Tiempo de tramitación de expedientes por macroproceso</a:t>
            </a:r>
          </a:p>
        </c:rich>
      </c:tx>
      <c:overlay val="0"/>
      <c:spPr>
        <a:noFill/>
        <a:ln w="25400">
          <a:noFill/>
        </a:ln>
      </c:spPr>
    </c:title>
    <c:autoTitleDeleted val="0"/>
    <c:pivotFmts>
      <c:pivotFmt>
        <c:idx val="0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</c:pivotFmt>
      <c:pivotFmt>
        <c:idx val="6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dLbl>
          <c:idx val="0"/>
          <c:layout>
            <c:manualLayout>
              <c:x val="-1.4953301468133442E-2"/>
              <c:y val="-5.631496062992125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"/>
        <c:dLbl>
          <c:idx val="0"/>
          <c:layout>
            <c:manualLayout>
              <c:x val="-1.5633381918263294E-2"/>
              <c:y val="-4.815961564126516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"/>
        <c:dLbl>
          <c:idx val="0"/>
          <c:layout>
            <c:manualLayout>
              <c:x val="-1.9071023567762406E-2"/>
              <c:y val="-8.10443525067841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dLbl>
          <c:idx val="0"/>
          <c:layout>
            <c:manualLayout>
              <c:x val="-1.8372160563693708E-2"/>
              <c:y val="-6.169313581565016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  <c:dLbl>
          <c:idx val="0"/>
          <c:layout>
            <c:manualLayout>
              <c:x val="-1.5991119000507564E-2"/>
              <c:y val="-7.974571822589972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"/>
        <c:dLbl>
          <c:idx val="0"/>
          <c:layout>
            <c:manualLayout>
              <c:x val="-1.7369953885030244E-2"/>
              <c:y val="-0.10912424929934605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dLbl>
          <c:idx val="0"/>
          <c:layout>
            <c:manualLayout>
              <c:x val="-1.7369953885030244E-2"/>
              <c:y val="-8.149721962720765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"/>
      </c:pivotFmt>
      <c:pivotFmt>
        <c:idx val="15"/>
        <c:dLbl>
          <c:idx val="0"/>
          <c:layout>
            <c:manualLayout>
              <c:x val="-1.736995388503014E-2"/>
              <c:y val="-5.437857555941100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  <c:dLbl>
          <c:idx val="0"/>
          <c:delete val="1"/>
          <c:extLst>
            <c:ext xmlns:c15="http://schemas.microsoft.com/office/drawing/2012/chart" uri="{CE6537A1-D6FC-4f65-9D91-7224C49458BB}"/>
          </c:extLst>
        </c:dLbl>
      </c:pivotFmt>
      <c:pivotFmt>
        <c:idx val="22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"/>
        <c:dLbl>
          <c:idx val="0"/>
          <c:layout>
            <c:manualLayout>
              <c:x val="-1.4953301468133442E-2"/>
              <c:y val="-5.631496062992125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"/>
        <c:dLbl>
          <c:idx val="0"/>
          <c:layout>
            <c:manualLayout>
              <c:x val="-1.5633381918263294E-2"/>
              <c:y val="-4.815961564126516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"/>
        <c:dLbl>
          <c:idx val="0"/>
          <c:layout>
            <c:manualLayout>
              <c:x val="-1.9071023567762406E-2"/>
              <c:y val="-8.10443525067841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"/>
        <c:dLbl>
          <c:idx val="0"/>
          <c:layout>
            <c:manualLayout>
              <c:x val="-1.8372160563693708E-2"/>
              <c:y val="-6.169313581565016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"/>
        <c:dLbl>
          <c:idx val="0"/>
          <c:layout>
            <c:manualLayout>
              <c:x val="-1.5991119000507564E-2"/>
              <c:y val="-7.974571822589972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"/>
        <c:dLbl>
          <c:idx val="0"/>
          <c:layout>
            <c:manualLayout>
              <c:x val="-1.7369953885030244E-2"/>
              <c:y val="-0.10912424929934605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"/>
        <c:dLbl>
          <c:idx val="0"/>
          <c:layout>
            <c:manualLayout>
              <c:x val="-1.7369953885030244E-2"/>
              <c:y val="-8.149721962720765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"/>
        <c:dLbl>
          <c:idx val="0"/>
          <c:layout>
            <c:manualLayout>
              <c:x val="-1.736995388503014E-2"/>
              <c:y val="-5.437857555941100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  <c:dLbl>
          <c:idx val="0"/>
          <c:delete val="1"/>
          <c:extLst>
            <c:ext xmlns:c15="http://schemas.microsoft.com/office/drawing/2012/chart" uri="{CE6537A1-D6FC-4f65-9D91-7224C49458BB}"/>
          </c:extLst>
        </c:dLbl>
      </c:pivotFmt>
      <c:pivotFmt>
        <c:idx val="37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"/>
        <c:dLbl>
          <c:idx val="0"/>
          <c:layout>
            <c:manualLayout>
              <c:x val="-1.4953301468133442E-2"/>
              <c:y val="-5.631496062992125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"/>
        <c:dLbl>
          <c:idx val="0"/>
          <c:layout>
            <c:manualLayout>
              <c:x val="-1.5633381918263294E-2"/>
              <c:y val="-4.815961564126516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"/>
        <c:dLbl>
          <c:idx val="0"/>
          <c:layout>
            <c:manualLayout>
              <c:x val="-1.9071023567762406E-2"/>
              <c:y val="-8.10443525067841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"/>
        <c:dLbl>
          <c:idx val="0"/>
          <c:layout>
            <c:manualLayout>
              <c:x val="-1.8372160563693708E-2"/>
              <c:y val="-6.169313581565016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"/>
        <c:dLbl>
          <c:idx val="0"/>
          <c:layout>
            <c:manualLayout>
              <c:x val="-1.5991119000507564E-2"/>
              <c:y val="-7.974571822589972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3"/>
        <c:dLbl>
          <c:idx val="0"/>
          <c:layout>
            <c:manualLayout>
              <c:x val="-1.7369953885030244E-2"/>
              <c:y val="-0.10912424929934605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4"/>
        <c:dLbl>
          <c:idx val="0"/>
          <c:layout>
            <c:manualLayout>
              <c:x val="-1.7369953885030244E-2"/>
              <c:y val="-8.149721962720765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5"/>
        <c:dLbl>
          <c:idx val="0"/>
          <c:layout>
            <c:manualLayout>
              <c:x val="-1.736995388503014E-2"/>
              <c:y val="-5.437857555941100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'G4 Análisis'!$D$5:$D$6</c:f>
              <c:strCache>
                <c:ptCount val="1"/>
                <c:pt idx="0">
                  <c:v> Espera del expediente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rot="0" vert="horz" wrap="square" lIns="38100" tIns="19050" rIns="38100" bIns="19050" anchor="ctr">
                <a:spAutoFit/>
              </a:bodyPr>
              <a:lstStyle/>
              <a:p>
                <a:pPr algn="ctr"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Análisis'!$D$7:$D$19</c:f>
              <c:numCache>
                <c:formatCode>0</c:formatCode>
                <c:ptCount val="8"/>
                <c:pt idx="0">
                  <c:v>19.3</c:v>
                </c:pt>
                <c:pt idx="1">
                  <c:v>18.532751091703055</c:v>
                </c:pt>
                <c:pt idx="2">
                  <c:v>15.614942528735632</c:v>
                </c:pt>
                <c:pt idx="3">
                  <c:v>16.392156862745097</c:v>
                </c:pt>
                <c:pt idx="4">
                  <c:v>15.507142857142858</c:v>
                </c:pt>
                <c:pt idx="5">
                  <c:v>13.463636363636363</c:v>
                </c:pt>
                <c:pt idx="6">
                  <c:v>11.666666666666666</c:v>
                </c:pt>
                <c:pt idx="7">
                  <c:v>9.5862068965517242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84-488E-935C-E1D371F85E9B}"/>
            </c:ext>
          </c:extLst>
        </c:ser>
        <c:ser>
          <c:idx val="1"/>
          <c:order val="1"/>
          <c:tx>
            <c:strRef>
              <c:f>'G4 Análisis'!$E$5:$E$6</c:f>
              <c:strCache>
                <c:ptCount val="1"/>
                <c:pt idx="0">
                  <c:v> Espera distribución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Análisis'!$E$7:$E$19</c:f>
              <c:numCache>
                <c:formatCode>0</c:formatCode>
                <c:ptCount val="8"/>
                <c:pt idx="0">
                  <c:v>34.235465116279073</c:v>
                </c:pt>
                <c:pt idx="1">
                  <c:v>40.229665071770334</c:v>
                </c:pt>
                <c:pt idx="2">
                  <c:v>33.481049562682216</c:v>
                </c:pt>
                <c:pt idx="3">
                  <c:v>33.842696629213485</c:v>
                </c:pt>
                <c:pt idx="4">
                  <c:v>23.603112840466927</c:v>
                </c:pt>
                <c:pt idx="5">
                  <c:v>26.450549450549449</c:v>
                </c:pt>
                <c:pt idx="6">
                  <c:v>20.228276877761413</c:v>
                </c:pt>
                <c:pt idx="7">
                  <c:v>19.204379562043794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84-488E-935C-E1D371F85E9B}"/>
            </c:ext>
          </c:extLst>
        </c:ser>
        <c:ser>
          <c:idx val="2"/>
          <c:order val="2"/>
          <c:tx>
            <c:strRef>
              <c:f>'G4 Análisis'!$F$5:$F$6</c:f>
              <c:strCache>
                <c:ptCount val="1"/>
                <c:pt idx="0">
                  <c:v> Redacción del proyecto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Análisis'!$F$7:$F$19</c:f>
              <c:numCache>
                <c:formatCode>0</c:formatCode>
                <c:ptCount val="8"/>
                <c:pt idx="0">
                  <c:v>56.66011235955056</c:v>
                </c:pt>
                <c:pt idx="1">
                  <c:v>64.251798561151077</c:v>
                </c:pt>
                <c:pt idx="2">
                  <c:v>83.582633053221286</c:v>
                </c:pt>
                <c:pt idx="3">
                  <c:v>87.136490250696383</c:v>
                </c:pt>
                <c:pt idx="4">
                  <c:v>85.445121951219505</c:v>
                </c:pt>
                <c:pt idx="5">
                  <c:v>103.3422619047619</c:v>
                </c:pt>
                <c:pt idx="6">
                  <c:v>93.55909943714822</c:v>
                </c:pt>
                <c:pt idx="7">
                  <c:v>93.930555555555557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884-488E-935C-E1D371F85E9B}"/>
            </c:ext>
          </c:extLst>
        </c:ser>
        <c:ser>
          <c:idx val="3"/>
          <c:order val="3"/>
          <c:tx>
            <c:strRef>
              <c:f>'G4 Análisis'!$G$5:$G$6</c:f>
              <c:strCache>
                <c:ptCount val="1"/>
                <c:pt idx="0">
                  <c:v> Rotación del expediente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Análisis'!$G$7:$G$19</c:f>
              <c:numCache>
                <c:formatCode>0</c:formatCode>
                <c:ptCount val="8"/>
                <c:pt idx="0">
                  <c:v>110.67977528089888</c:v>
                </c:pt>
                <c:pt idx="1">
                  <c:v>123.28666666666666</c:v>
                </c:pt>
                <c:pt idx="2">
                  <c:v>136.7906976744186</c:v>
                </c:pt>
                <c:pt idx="3">
                  <c:v>107.49</c:v>
                </c:pt>
                <c:pt idx="4">
                  <c:v>119.01486988847584</c:v>
                </c:pt>
                <c:pt idx="5">
                  <c:v>119.10714285714286</c:v>
                </c:pt>
                <c:pt idx="6">
                  <c:v>119.61866666666667</c:v>
                </c:pt>
                <c:pt idx="7">
                  <c:v>116.01408450704226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884-488E-935C-E1D371F85E9B}"/>
            </c:ext>
          </c:extLst>
        </c:ser>
        <c:ser>
          <c:idx val="4"/>
          <c:order val="4"/>
          <c:tx>
            <c:strRef>
              <c:f>'G4 Análisis'!$H$5:$H$6</c:f>
              <c:strCache>
                <c:ptCount val="1"/>
                <c:pt idx="0">
                  <c:v> Devolución del expediente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solidFill>
                      <a:schemeClr val="bg1"/>
                    </a:solidFill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Análisis'!$H$7:$H$19</c:f>
              <c:numCache>
                <c:formatCode>0</c:formatCode>
                <c:ptCount val="8"/>
                <c:pt idx="0">
                  <c:v>72.310638297872345</c:v>
                </c:pt>
                <c:pt idx="1">
                  <c:v>68.8041958041958</c:v>
                </c:pt>
                <c:pt idx="2">
                  <c:v>81.710144927536234</c:v>
                </c:pt>
                <c:pt idx="3">
                  <c:v>75.07692307692308</c:v>
                </c:pt>
                <c:pt idx="4">
                  <c:v>80.575396825396822</c:v>
                </c:pt>
                <c:pt idx="5">
                  <c:v>63.724489795918366</c:v>
                </c:pt>
                <c:pt idx="6">
                  <c:v>42.917117117117115</c:v>
                </c:pt>
                <c:pt idx="7">
                  <c:v>34.128205128205131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884-488E-935C-E1D371F85E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76439744"/>
        <c:axId val="1"/>
      </c:barChart>
      <c:lineChart>
        <c:grouping val="standard"/>
        <c:varyColors val="0"/>
        <c:ser>
          <c:idx val="5"/>
          <c:order val="5"/>
          <c:tx>
            <c:strRef>
              <c:f>'G4 Análisis'!$I$5:$I$6</c:f>
              <c:strCache>
                <c:ptCount val="1"/>
                <c:pt idx="0">
                  <c:v> TRAMITACION VOTACION</c:v>
                </c:pt>
              </c:strCache>
            </c:strRef>
          </c:tx>
          <c:spPr>
            <a:ln w="25400">
              <a:solidFill>
                <a:srgbClr val="800000"/>
              </a:solidFill>
              <a:prstDash val="solid"/>
            </a:ln>
            <a:effectLst/>
          </c:spPr>
          <c:marker>
            <c:symbol val="none"/>
          </c:marker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Análisis'!$I$7:$I$19</c:f>
              <c:numCache>
                <c:formatCode>0.0</c:formatCode>
                <c:ptCount val="8"/>
                <c:pt idx="0">
                  <c:v>9.7539027305323209</c:v>
                </c:pt>
                <c:pt idx="1">
                  <c:v>10.201290614740186</c:v>
                </c:pt>
                <c:pt idx="2">
                  <c:v>10.427151911674502</c:v>
                </c:pt>
                <c:pt idx="3">
                  <c:v>10.655803893294873</c:v>
                </c:pt>
                <c:pt idx="4">
                  <c:v>9.3821285563751218</c:v>
                </c:pt>
                <c:pt idx="5">
                  <c:v>9.5671232876712295</c:v>
                </c:pt>
                <c:pt idx="6">
                  <c:v>9.2184518897507886</c:v>
                </c:pt>
                <c:pt idx="7">
                  <c:v>9.3913043478260878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884-488E-935C-E1D371F85E9B}"/>
            </c:ext>
          </c:extLst>
        </c:ser>
        <c:ser>
          <c:idx val="6"/>
          <c:order val="6"/>
          <c:tx>
            <c:strRef>
              <c:f>'G4 Análisis'!$J$5:$J$6</c:f>
              <c:strCache>
                <c:ptCount val="1"/>
                <c:pt idx="0">
                  <c:v> TRAMITACION DEVOLUCION</c:v>
                </c:pt>
              </c:strCache>
            </c:strRef>
          </c:tx>
          <c:spPr>
            <a:ln w="25400">
              <a:solidFill>
                <a:srgbClr val="99CC00"/>
              </a:solidFill>
              <a:prstDash val="solid"/>
            </a:ln>
            <a:effectLst/>
          </c:spPr>
          <c:marker>
            <c:symbol val="square"/>
            <c:size val="7"/>
            <c:spPr>
              <a:solidFill>
                <a:srgbClr val="FFFFFF"/>
              </a:solidFill>
              <a:ln>
                <a:solidFill>
                  <a:srgbClr val="99CC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1.4953301468133442E-2"/>
                  <c:y val="-5.63149606299212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884-488E-935C-E1D371F85E9B}"/>
                </c:ext>
              </c:extLst>
            </c:dLbl>
            <c:dLbl>
              <c:idx val="1"/>
              <c:layout>
                <c:manualLayout>
                  <c:x val="-1.5633381918263294E-2"/>
                  <c:y val="-4.81596156412651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884-488E-935C-E1D371F85E9B}"/>
                </c:ext>
              </c:extLst>
            </c:dLbl>
            <c:dLbl>
              <c:idx val="2"/>
              <c:layout>
                <c:manualLayout>
                  <c:x val="-1.9071023567762406E-2"/>
                  <c:y val="-8.10443525067841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884-488E-935C-E1D371F85E9B}"/>
                </c:ext>
              </c:extLst>
            </c:dLbl>
            <c:dLbl>
              <c:idx val="3"/>
              <c:layout>
                <c:manualLayout>
                  <c:x val="-1.8372160563693708E-2"/>
                  <c:y val="-6.16931358156501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884-488E-935C-E1D371F85E9B}"/>
                </c:ext>
              </c:extLst>
            </c:dLbl>
            <c:dLbl>
              <c:idx val="4"/>
              <c:layout>
                <c:manualLayout>
                  <c:x val="-1.5991119000507564E-2"/>
                  <c:y val="-7.97457182258997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884-488E-935C-E1D371F85E9B}"/>
                </c:ext>
              </c:extLst>
            </c:dLbl>
            <c:dLbl>
              <c:idx val="5"/>
              <c:layout>
                <c:manualLayout>
                  <c:x val="-1.7369953885030244E-2"/>
                  <c:y val="-0.1091242492993460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884-488E-935C-E1D371F85E9B}"/>
                </c:ext>
              </c:extLst>
            </c:dLbl>
            <c:dLbl>
              <c:idx val="6"/>
              <c:layout>
                <c:manualLayout>
                  <c:x val="-1.7369953885030244E-2"/>
                  <c:y val="-8.14972196272076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884-488E-935C-E1D371F85E9B}"/>
                </c:ext>
              </c:extLst>
            </c:dLbl>
            <c:dLbl>
              <c:idx val="7"/>
              <c:layout>
                <c:manualLayout>
                  <c:x val="-1.736995388503014E-2"/>
                  <c:y val="-5.43785755594110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884-488E-935C-E1D371F85E9B}"/>
                </c:ext>
              </c:extLst>
            </c:dLbl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Análisis'!$J$7:$J$19</c:f>
              <c:numCache>
                <c:formatCode>0.0</c:formatCode>
                <c:ptCount val="8"/>
                <c:pt idx="0">
                  <c:v>10.719925702345014</c:v>
                </c:pt>
                <c:pt idx="1">
                  <c:v>11.045494887131012</c:v>
                </c:pt>
                <c:pt idx="2">
                  <c:v>11.541835762947773</c:v>
                </c:pt>
                <c:pt idx="3">
                  <c:v>10.983437110834368</c:v>
                </c:pt>
                <c:pt idx="4">
                  <c:v>10.605088062622299</c:v>
                </c:pt>
                <c:pt idx="5">
                  <c:v>10.349307743022491</c:v>
                </c:pt>
                <c:pt idx="6">
                  <c:v>9.6226830948190099</c:v>
                </c:pt>
                <c:pt idx="7">
                  <c:v>9.5785919082510347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F884-488E-935C-E1D371F85E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67643974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Semestres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 rtl="1"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s-CR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Días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" sourceLinked="1"/>
        <c:majorTickMark val="out"/>
        <c:minorTickMark val="none"/>
        <c:tickLblPos val="nextTo"/>
        <c:spPr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676439744"/>
        <c:crosses val="autoZero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0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Meses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3"/>
        <c:crosses val="max"/>
        <c:crossBetween val="between"/>
      </c:valAx>
      <c:spPr>
        <a:solidFill>
          <a:srgbClr val="FFFFFF"/>
        </a:solidFill>
        <a:ln w="12700">
          <a:solidFill>
            <a:srgbClr val="000000"/>
          </a:solidFill>
          <a:prstDash val="solid"/>
        </a:ln>
      </c:spPr>
    </c:plotArea>
    <c:legend>
      <c:legendPos val="b"/>
      <c:overlay val="0"/>
      <c:spPr>
        <a:effectLst/>
      </c:spPr>
      <c:txPr>
        <a:bodyPr/>
        <a:lstStyle/>
        <a:p>
          <a:pPr>
            <a:defRPr sz="600" b="0" i="0" u="none" strike="noStrike" baseline="0">
              <a:latin typeface="Arial"/>
              <a:ea typeface="Arial"/>
              <a:cs typeface="Arial"/>
            </a:defRPr>
          </a:pPr>
          <a:endParaRPr lang="es-CR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CR"/>
    </a:p>
  </c:txPr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</c:extLst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5F4DCE-773B-49E0-A81F-5EAD32EE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4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Indicadores de gestión de la Norma GICA 2010: Organización del Despacho Judicial</vt:lpstr>
    </vt:vector>
  </TitlesOfParts>
  <Company>.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Indicadores de gestión de la Norma GICA 2010: Organización del Despacho Judicial</dc:title>
  <dc:creator>gsalasz</dc:creator>
  <cp:lastModifiedBy>Kenneth Muñoz Rojas</cp:lastModifiedBy>
  <cp:revision>148</cp:revision>
  <cp:lastPrinted>2014-10-20T19:13:00Z</cp:lastPrinted>
  <dcterms:created xsi:type="dcterms:W3CDTF">2017-06-14T17:02:00Z</dcterms:created>
  <dcterms:modified xsi:type="dcterms:W3CDTF">2022-10-05T17:56:00Z</dcterms:modified>
</cp:coreProperties>
</file>