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53D54" w14:textId="5FC9D9A8" w:rsidR="001907F7" w:rsidRDefault="00E2762C" w:rsidP="001907F7">
      <w:pPr>
        <w:spacing w:line="360" w:lineRule="auto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 xml:space="preserve"> </w:t>
      </w:r>
      <w:r w:rsidR="001907F7">
        <w:rPr>
          <w:rFonts w:ascii="Arial" w:hAnsi="Arial"/>
          <w:b/>
          <w:sz w:val="32"/>
        </w:rPr>
        <w:t>I</w:t>
      </w:r>
      <w:r w:rsidR="001907F7" w:rsidRPr="005328FE">
        <w:rPr>
          <w:rFonts w:ascii="Arial" w:hAnsi="Arial"/>
          <w:b/>
          <w:sz w:val="32"/>
        </w:rPr>
        <w:t>n</w:t>
      </w:r>
      <w:r w:rsidR="00B2601E">
        <w:rPr>
          <w:rFonts w:ascii="Arial" w:hAnsi="Arial"/>
          <w:b/>
          <w:sz w:val="32"/>
        </w:rPr>
        <w:t>formes</w:t>
      </w:r>
      <w:r w:rsidR="001907F7" w:rsidRPr="005328FE">
        <w:rPr>
          <w:rFonts w:ascii="Arial" w:hAnsi="Arial"/>
          <w:b/>
          <w:sz w:val="32"/>
        </w:rPr>
        <w:t xml:space="preserve"> de gestión Organización del Despacho Judicial</w:t>
      </w:r>
      <w:r w:rsidR="001907F7">
        <w:rPr>
          <w:rFonts w:ascii="Arial" w:hAnsi="Arial"/>
          <w:b/>
          <w:sz w:val="32"/>
        </w:rPr>
        <w:t>.</w:t>
      </w:r>
    </w:p>
    <w:p w14:paraId="14EE8A12" w14:textId="77777777" w:rsidR="001907F7" w:rsidRPr="005328FE" w:rsidRDefault="001907F7" w:rsidP="001907F7">
      <w:pPr>
        <w:tabs>
          <w:tab w:val="left" w:pos="0"/>
        </w:tabs>
        <w:spacing w:line="360" w:lineRule="auto"/>
        <w:jc w:val="both"/>
        <w:rPr>
          <w:rFonts w:ascii="Arial" w:hAnsi="Arial"/>
        </w:rPr>
      </w:pPr>
    </w:p>
    <w:p w14:paraId="1E33A41E" w14:textId="77777777" w:rsidR="001907F7" w:rsidRPr="00A245BE" w:rsidRDefault="001907F7" w:rsidP="009E1EA2">
      <w:pPr>
        <w:tabs>
          <w:tab w:val="left" w:pos="0"/>
        </w:tabs>
        <w:jc w:val="both"/>
        <w:rPr>
          <w:rFonts w:ascii="Arial" w:hAnsi="Arial"/>
        </w:rPr>
      </w:pPr>
      <w:r w:rsidRPr="005328FE">
        <w:rPr>
          <w:rFonts w:ascii="Arial" w:hAnsi="Arial"/>
          <w:b/>
        </w:rPr>
        <w:t>Sala Segunda.</w:t>
      </w:r>
    </w:p>
    <w:p w14:paraId="3E2BC2A1" w14:textId="03B71E55" w:rsidR="00757533" w:rsidRPr="00261195" w:rsidRDefault="006D3F4B" w:rsidP="009E1EA2">
      <w:pPr>
        <w:spacing w:after="200"/>
        <w:ind w:left="360"/>
        <w:jc w:val="both"/>
        <w:rPr>
          <w:rFonts w:ascii="Arial" w:hAnsi="Arial" w:cs="Arial"/>
          <w:lang w:val="es-CR"/>
        </w:rPr>
      </w:pPr>
      <w:r>
        <w:rPr>
          <w:rFonts w:ascii="Arial" w:hAnsi="Arial" w:cs="Arial"/>
        </w:rPr>
        <w:t>E</w:t>
      </w:r>
      <w:r>
        <w:rPr>
          <w:rFonts w:ascii="Arial" w:hAnsi="Arial" w:cs="Arial"/>
          <w:lang w:val="es-CR"/>
        </w:rPr>
        <w:t xml:space="preserve">l </w:t>
      </w:r>
      <w:r w:rsidR="00A54144">
        <w:rPr>
          <w:rFonts w:ascii="Arial" w:hAnsi="Arial" w:cs="Arial"/>
          <w:lang w:val="es-CR"/>
        </w:rPr>
        <w:t>ingreso</w:t>
      </w:r>
      <w:r w:rsidR="00F44064">
        <w:rPr>
          <w:rFonts w:ascii="Arial" w:hAnsi="Arial" w:cs="Arial"/>
          <w:lang w:val="es-CR"/>
        </w:rPr>
        <w:t xml:space="preserve"> </w:t>
      </w:r>
      <w:r w:rsidR="00957F30">
        <w:rPr>
          <w:rFonts w:ascii="Arial" w:hAnsi="Arial" w:cs="Arial"/>
          <w:lang w:val="es-CR"/>
        </w:rPr>
        <w:t xml:space="preserve">fue de </w:t>
      </w:r>
      <w:r w:rsidR="00C523DF">
        <w:rPr>
          <w:rFonts w:ascii="Arial" w:hAnsi="Arial" w:cs="Arial"/>
          <w:lang w:val="es-CR"/>
        </w:rPr>
        <w:t>313</w:t>
      </w:r>
      <w:r w:rsidR="0048207E">
        <w:rPr>
          <w:rFonts w:ascii="Arial" w:hAnsi="Arial" w:cs="Arial"/>
          <w:lang w:val="es-CR"/>
        </w:rPr>
        <w:t xml:space="preserve"> </w:t>
      </w:r>
      <w:r w:rsidR="004D6114">
        <w:rPr>
          <w:rFonts w:ascii="Arial" w:hAnsi="Arial" w:cs="Arial"/>
          <w:lang w:val="es-CR"/>
        </w:rPr>
        <w:t xml:space="preserve">y </w:t>
      </w:r>
      <w:r w:rsidR="00590F47">
        <w:rPr>
          <w:rFonts w:ascii="Arial" w:hAnsi="Arial" w:cs="Arial"/>
          <w:lang w:val="es-CR"/>
        </w:rPr>
        <w:t xml:space="preserve">la </w:t>
      </w:r>
      <w:r w:rsidR="004D6114">
        <w:rPr>
          <w:rFonts w:ascii="Arial" w:hAnsi="Arial" w:cs="Arial"/>
          <w:lang w:val="es-CR"/>
        </w:rPr>
        <w:t xml:space="preserve">salida </w:t>
      </w:r>
      <w:r w:rsidR="00F44064">
        <w:rPr>
          <w:rFonts w:ascii="Arial" w:hAnsi="Arial" w:cs="Arial"/>
          <w:lang w:val="es-CR"/>
        </w:rPr>
        <w:t>de</w:t>
      </w:r>
      <w:r w:rsidR="00471F96">
        <w:rPr>
          <w:rFonts w:ascii="Arial" w:hAnsi="Arial" w:cs="Arial"/>
          <w:lang w:val="es-CR"/>
        </w:rPr>
        <w:t xml:space="preserve"> </w:t>
      </w:r>
      <w:r w:rsidR="00C523DF">
        <w:rPr>
          <w:rFonts w:ascii="Arial" w:hAnsi="Arial" w:cs="Arial"/>
          <w:lang w:val="es-CR"/>
        </w:rPr>
        <w:t xml:space="preserve">251 </w:t>
      </w:r>
      <w:r w:rsidR="00F44064">
        <w:rPr>
          <w:rFonts w:ascii="Arial" w:hAnsi="Arial" w:cs="Arial"/>
          <w:lang w:val="es-CR"/>
        </w:rPr>
        <w:t>expedientes</w:t>
      </w:r>
      <w:r w:rsidR="004D6114">
        <w:rPr>
          <w:rFonts w:ascii="Arial" w:hAnsi="Arial" w:cs="Arial"/>
          <w:lang w:val="es-CR"/>
        </w:rPr>
        <w:t>.</w:t>
      </w:r>
      <w:r w:rsidR="00173BCD">
        <w:rPr>
          <w:rFonts w:ascii="Arial" w:hAnsi="Arial"/>
        </w:rPr>
        <w:t xml:space="preserve"> </w:t>
      </w:r>
      <w:r w:rsidR="004D6114">
        <w:rPr>
          <w:rFonts w:ascii="Arial" w:hAnsi="Arial"/>
        </w:rPr>
        <w:t xml:space="preserve">Para un circulante de </w:t>
      </w:r>
      <w:r w:rsidR="007E3964">
        <w:rPr>
          <w:rFonts w:ascii="Arial" w:hAnsi="Arial"/>
        </w:rPr>
        <w:t>4</w:t>
      </w:r>
      <w:r w:rsidR="00C523DF">
        <w:rPr>
          <w:rFonts w:ascii="Arial" w:hAnsi="Arial"/>
        </w:rPr>
        <w:t>677</w:t>
      </w:r>
      <w:r w:rsidR="008D57D8">
        <w:rPr>
          <w:rFonts w:ascii="Arial" w:hAnsi="Arial"/>
        </w:rPr>
        <w:t xml:space="preserve"> </w:t>
      </w:r>
      <w:r w:rsidR="004D6114">
        <w:rPr>
          <w:rFonts w:ascii="Arial" w:hAnsi="Arial"/>
        </w:rPr>
        <w:t>expedientes</w:t>
      </w:r>
      <w:r w:rsidR="001D4782">
        <w:rPr>
          <w:rFonts w:ascii="Arial" w:hAnsi="Arial"/>
        </w:rPr>
        <w:t>.</w:t>
      </w:r>
    </w:p>
    <w:p w14:paraId="2FD66904" w14:textId="77777777" w:rsidR="001907F7" w:rsidRPr="005328FE" w:rsidRDefault="001907F7" w:rsidP="009E1EA2">
      <w:pPr>
        <w:spacing w:after="200"/>
        <w:jc w:val="both"/>
        <w:rPr>
          <w:rFonts w:ascii="Arial" w:hAnsi="Arial"/>
          <w:b/>
        </w:rPr>
      </w:pPr>
      <w:r w:rsidRPr="005328FE">
        <w:rPr>
          <w:rFonts w:ascii="Arial" w:hAnsi="Arial"/>
          <w:b/>
        </w:rPr>
        <w:t>Tiempo de tramitación de expedientes de la Sala Segunda.</w:t>
      </w:r>
    </w:p>
    <w:p w14:paraId="4F877FB7" w14:textId="3CF7013D" w:rsidR="006C5989" w:rsidRDefault="00526068" w:rsidP="009E1EA2">
      <w:pPr>
        <w:numPr>
          <w:ilvl w:val="0"/>
          <w:numId w:val="2"/>
        </w:numPr>
        <w:spacing w:after="200"/>
        <w:jc w:val="both"/>
        <w:rPr>
          <w:rFonts w:ascii="Arial" w:hAnsi="Arial"/>
        </w:rPr>
      </w:pPr>
      <w:r w:rsidRPr="005328FE">
        <w:rPr>
          <w:rFonts w:ascii="Arial" w:hAnsi="Arial"/>
        </w:rPr>
        <w:t xml:space="preserve">El tiempo de tramitación en la Sala Segunda </w:t>
      </w:r>
      <w:r w:rsidR="00715EBB">
        <w:rPr>
          <w:rFonts w:ascii="Arial" w:hAnsi="Arial"/>
        </w:rPr>
        <w:t xml:space="preserve">para </w:t>
      </w:r>
      <w:r w:rsidR="00153E90">
        <w:rPr>
          <w:rFonts w:ascii="Arial" w:hAnsi="Arial"/>
        </w:rPr>
        <w:t xml:space="preserve">el </w:t>
      </w:r>
      <w:r w:rsidR="00153E90" w:rsidRPr="00846CF4">
        <w:rPr>
          <w:rFonts w:ascii="Arial" w:hAnsi="Arial"/>
          <w:u w:val="single"/>
        </w:rPr>
        <w:t>mes</w:t>
      </w:r>
      <w:r w:rsidR="00153E90" w:rsidRPr="00846CF4">
        <w:rPr>
          <w:rFonts w:ascii="Arial" w:hAnsi="Arial"/>
        </w:rPr>
        <w:t xml:space="preserve"> </w:t>
      </w:r>
      <w:r w:rsidR="00153E90">
        <w:rPr>
          <w:rFonts w:ascii="Arial" w:hAnsi="Arial"/>
        </w:rPr>
        <w:t>se</w:t>
      </w:r>
      <w:r w:rsidR="00615668">
        <w:rPr>
          <w:rFonts w:ascii="Arial" w:hAnsi="Arial"/>
        </w:rPr>
        <w:t xml:space="preserve"> fijó</w:t>
      </w:r>
      <w:r w:rsidR="00F97123">
        <w:rPr>
          <w:rFonts w:ascii="Arial" w:hAnsi="Arial"/>
        </w:rPr>
        <w:t xml:space="preserve"> en un aproxi</w:t>
      </w:r>
      <w:r w:rsidR="00FA6F39">
        <w:rPr>
          <w:rFonts w:ascii="Arial" w:hAnsi="Arial"/>
        </w:rPr>
        <w:t xml:space="preserve">mado de </w:t>
      </w:r>
      <w:r w:rsidR="00C523DF">
        <w:rPr>
          <w:rFonts w:ascii="Arial" w:hAnsi="Arial"/>
        </w:rPr>
        <w:t>6.7</w:t>
      </w:r>
      <w:r w:rsidR="001973B5">
        <w:rPr>
          <w:rFonts w:ascii="Arial" w:hAnsi="Arial"/>
        </w:rPr>
        <w:t xml:space="preserve"> </w:t>
      </w:r>
      <w:r w:rsidR="009B4B70" w:rsidRPr="00846CF4">
        <w:rPr>
          <w:rFonts w:ascii="Arial" w:hAnsi="Arial"/>
          <w:u w:val="single"/>
        </w:rPr>
        <w:t>co</w:t>
      </w:r>
      <w:r w:rsidR="00615668" w:rsidRPr="00846CF4">
        <w:rPr>
          <w:rFonts w:ascii="Arial" w:hAnsi="Arial"/>
          <w:u w:val="single"/>
        </w:rPr>
        <w:t>nta</w:t>
      </w:r>
      <w:r w:rsidR="00FA0748" w:rsidRPr="00846CF4">
        <w:rPr>
          <w:rFonts w:ascii="Arial" w:hAnsi="Arial"/>
          <w:u w:val="single"/>
        </w:rPr>
        <w:t xml:space="preserve">ndo </w:t>
      </w:r>
      <w:r w:rsidR="00615668" w:rsidRPr="00846CF4">
        <w:rPr>
          <w:rFonts w:ascii="Arial" w:hAnsi="Arial"/>
          <w:u w:val="single"/>
        </w:rPr>
        <w:t>el tiempo de devolución</w:t>
      </w:r>
      <w:r w:rsidR="00301E66" w:rsidRPr="00846CF4">
        <w:rPr>
          <w:rFonts w:ascii="Arial" w:hAnsi="Arial"/>
          <w:u w:val="single"/>
        </w:rPr>
        <w:t xml:space="preserve">. </w:t>
      </w:r>
    </w:p>
    <w:p w14:paraId="56CDD0F2" w14:textId="2EC11CCB" w:rsidR="009E1EA2" w:rsidRDefault="00344722" w:rsidP="009E1EA2">
      <w:pPr>
        <w:numPr>
          <w:ilvl w:val="0"/>
          <w:numId w:val="2"/>
        </w:numPr>
        <w:spacing w:after="200"/>
        <w:jc w:val="both"/>
        <w:rPr>
          <w:rFonts w:ascii="Arial" w:hAnsi="Arial"/>
        </w:rPr>
      </w:pPr>
      <w:r>
        <w:rPr>
          <w:rFonts w:ascii="Arial" w:hAnsi="Arial"/>
        </w:rPr>
        <w:t>La</w:t>
      </w:r>
      <w:r w:rsidR="00526068">
        <w:rPr>
          <w:rFonts w:ascii="Arial" w:hAnsi="Arial"/>
        </w:rPr>
        <w:t xml:space="preserve"> composición promedio del tiempo de tramitación</w:t>
      </w:r>
      <w:r w:rsidR="00526068" w:rsidRPr="007C1F78">
        <w:rPr>
          <w:rFonts w:ascii="Arial" w:hAnsi="Arial"/>
        </w:rPr>
        <w:t xml:space="preserve"> </w:t>
      </w:r>
      <w:r w:rsidR="00526068" w:rsidRPr="00144533">
        <w:rPr>
          <w:rFonts w:ascii="Arial" w:hAnsi="Arial"/>
          <w:u w:val="single"/>
        </w:rPr>
        <w:t>semestral</w:t>
      </w:r>
      <w:r w:rsidR="00A02C8D">
        <w:rPr>
          <w:rFonts w:ascii="Arial" w:hAnsi="Arial"/>
        </w:rPr>
        <w:t xml:space="preserve"> </w:t>
      </w:r>
      <w:r w:rsidR="00AD3038">
        <w:rPr>
          <w:rFonts w:ascii="Arial" w:hAnsi="Arial"/>
        </w:rPr>
        <w:t>se fij</w:t>
      </w:r>
      <w:r w:rsidR="00615668">
        <w:rPr>
          <w:rFonts w:ascii="Arial" w:hAnsi="Arial"/>
        </w:rPr>
        <w:t>ó</w:t>
      </w:r>
      <w:r w:rsidR="00761F83">
        <w:rPr>
          <w:rFonts w:ascii="Arial" w:hAnsi="Arial"/>
        </w:rPr>
        <w:t xml:space="preserve"> en </w:t>
      </w:r>
      <w:r w:rsidR="00F72D88">
        <w:rPr>
          <w:rFonts w:ascii="Arial" w:hAnsi="Arial"/>
        </w:rPr>
        <w:t>8.</w:t>
      </w:r>
      <w:r w:rsidR="00C523DF">
        <w:rPr>
          <w:rFonts w:ascii="Arial" w:hAnsi="Arial"/>
        </w:rPr>
        <w:t>2</w:t>
      </w:r>
      <w:r w:rsidR="007E3964">
        <w:rPr>
          <w:rFonts w:ascii="Arial" w:hAnsi="Arial"/>
        </w:rPr>
        <w:t xml:space="preserve"> </w:t>
      </w:r>
      <w:r w:rsidR="0088505B" w:rsidRPr="00234E92">
        <w:rPr>
          <w:rFonts w:ascii="Arial" w:hAnsi="Arial"/>
          <w:u w:val="single"/>
        </w:rPr>
        <w:t>meses</w:t>
      </w:r>
      <w:r w:rsidR="00123450">
        <w:rPr>
          <w:rFonts w:ascii="Arial" w:hAnsi="Arial"/>
        </w:rPr>
        <w:t xml:space="preserve">. </w:t>
      </w:r>
    </w:p>
    <w:p w14:paraId="30D5AB82" w14:textId="77777777" w:rsidR="009E1EA2" w:rsidRPr="00D30395" w:rsidRDefault="009E1EA2" w:rsidP="009E1EA2">
      <w:pPr>
        <w:numPr>
          <w:ilvl w:val="0"/>
          <w:numId w:val="2"/>
        </w:numPr>
        <w:spacing w:after="200"/>
        <w:jc w:val="both"/>
        <w:rPr>
          <w:rFonts w:ascii="Arial" w:hAnsi="Arial"/>
        </w:rPr>
      </w:pPr>
      <w:r>
        <w:rPr>
          <w:rFonts w:ascii="Arial" w:hAnsi="Arial"/>
        </w:rPr>
        <w:t xml:space="preserve">Se hace la observación que el tiempo de tramitación promedio, se extrae de todos aquellos expedientes que circularon para estudio del proyecto y que fueron votados durante el mes, pasando por cada uno de los procesos de tramitación interna en el despacho. </w:t>
      </w:r>
    </w:p>
    <w:p w14:paraId="10215AAB" w14:textId="77777777" w:rsidR="009E1EA2" w:rsidRDefault="009E1EA2" w:rsidP="009E1EA2">
      <w:pPr>
        <w:spacing w:after="200"/>
        <w:ind w:left="720"/>
        <w:jc w:val="both"/>
        <w:rPr>
          <w:rFonts w:ascii="Arial" w:hAnsi="Arial"/>
        </w:rPr>
      </w:pPr>
      <w:r>
        <w:rPr>
          <w:rFonts w:ascii="Arial" w:hAnsi="Arial"/>
        </w:rPr>
        <w:t>El detalle se muestra en el cuadro adjunto:</w:t>
      </w:r>
    </w:p>
    <w:p w14:paraId="2F77D2A0" w14:textId="77777777" w:rsidR="00590F47" w:rsidRDefault="00590F47" w:rsidP="00590F47">
      <w:pPr>
        <w:spacing w:after="200" w:line="360" w:lineRule="auto"/>
        <w:jc w:val="both"/>
        <w:rPr>
          <w:rFonts w:ascii="Arial" w:hAnsi="Arial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5252" w:type="dxa"/>
        <w:tblLook w:val="01E0" w:firstRow="1" w:lastRow="1" w:firstColumn="1" w:lastColumn="1" w:noHBand="0" w:noVBand="0"/>
      </w:tblPr>
      <w:tblGrid>
        <w:gridCol w:w="2626"/>
        <w:gridCol w:w="2626"/>
      </w:tblGrid>
      <w:tr w:rsidR="00590F47" w:rsidRPr="007A5B94" w14:paraId="5CAF4D20" w14:textId="77777777" w:rsidTr="00EF0C2F">
        <w:tc>
          <w:tcPr>
            <w:tcW w:w="2626" w:type="dxa"/>
          </w:tcPr>
          <w:p w14:paraId="22D80A8F" w14:textId="77777777" w:rsidR="00590F47" w:rsidRPr="007A5B94" w:rsidRDefault="00590F47" w:rsidP="00EF0C2F">
            <w:pPr>
              <w:spacing w:after="200"/>
              <w:rPr>
                <w:rFonts w:ascii="Arial" w:hAnsi="Arial"/>
                <w:b/>
              </w:rPr>
            </w:pPr>
            <w:r w:rsidRPr="007A5B94">
              <w:rPr>
                <w:rFonts w:ascii="Arial" w:hAnsi="Arial"/>
                <w:b/>
              </w:rPr>
              <w:t>RUBRO</w:t>
            </w:r>
          </w:p>
        </w:tc>
        <w:tc>
          <w:tcPr>
            <w:tcW w:w="2626" w:type="dxa"/>
          </w:tcPr>
          <w:p w14:paraId="5519DFE6" w14:textId="37F80D14" w:rsidR="00590F47" w:rsidRPr="007A5B94" w:rsidRDefault="00C523DF" w:rsidP="00320842">
            <w:pPr>
              <w:spacing w:after="20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Octubre</w:t>
            </w:r>
          </w:p>
        </w:tc>
      </w:tr>
      <w:tr w:rsidR="00590F47" w14:paraId="2ADD65E8" w14:textId="77777777" w:rsidTr="00EF0C2F">
        <w:tc>
          <w:tcPr>
            <w:tcW w:w="2626" w:type="dxa"/>
          </w:tcPr>
          <w:p w14:paraId="4C2EA4E8" w14:textId="3C499B66" w:rsidR="00590F47" w:rsidRDefault="00590F47" w:rsidP="00EF0C2F">
            <w:pPr>
              <w:spacing w:after="200"/>
              <w:rPr>
                <w:rFonts w:ascii="Arial" w:hAnsi="Arial"/>
              </w:rPr>
            </w:pPr>
            <w:r>
              <w:t>ESPERA DEL EXPEDIENTE</w:t>
            </w:r>
          </w:p>
        </w:tc>
        <w:tc>
          <w:tcPr>
            <w:tcW w:w="2626" w:type="dxa"/>
          </w:tcPr>
          <w:p w14:paraId="347941C8" w14:textId="2AB9A89E" w:rsidR="00590F47" w:rsidRDefault="00C523DF" w:rsidP="00E63373">
            <w:pPr>
              <w:spacing w:after="200"/>
              <w:jc w:val="center"/>
            </w:pPr>
            <w:r>
              <w:t>8</w:t>
            </w:r>
          </w:p>
        </w:tc>
      </w:tr>
      <w:tr w:rsidR="00590F47" w14:paraId="5F208720" w14:textId="77777777" w:rsidTr="00EF0C2F">
        <w:tc>
          <w:tcPr>
            <w:tcW w:w="2626" w:type="dxa"/>
          </w:tcPr>
          <w:p w14:paraId="0A9B3D5E" w14:textId="77777777" w:rsidR="00590F47" w:rsidRDefault="00590F47" w:rsidP="00EF0C2F">
            <w:pPr>
              <w:spacing w:after="200"/>
              <w:rPr>
                <w:rFonts w:ascii="Arial" w:hAnsi="Arial"/>
              </w:rPr>
            </w:pPr>
            <w:r>
              <w:t>DISTRIBUCIÓN</w:t>
            </w:r>
          </w:p>
        </w:tc>
        <w:tc>
          <w:tcPr>
            <w:tcW w:w="2626" w:type="dxa"/>
          </w:tcPr>
          <w:p w14:paraId="008DE897" w14:textId="693B0AE5" w:rsidR="00590F47" w:rsidRDefault="00F72D88" w:rsidP="00846CF4">
            <w:pPr>
              <w:spacing w:after="200"/>
              <w:jc w:val="center"/>
            </w:pPr>
            <w:r>
              <w:t>18</w:t>
            </w:r>
          </w:p>
        </w:tc>
      </w:tr>
      <w:tr w:rsidR="00590F47" w14:paraId="5E5CD42A" w14:textId="77777777" w:rsidTr="00EF0C2F">
        <w:tc>
          <w:tcPr>
            <w:tcW w:w="2626" w:type="dxa"/>
          </w:tcPr>
          <w:p w14:paraId="7DECBF26" w14:textId="6EDB715E" w:rsidR="00590F47" w:rsidRDefault="00590F47" w:rsidP="00EF0C2F">
            <w:pPr>
              <w:spacing w:after="200"/>
              <w:rPr>
                <w:rFonts w:ascii="Arial" w:hAnsi="Arial"/>
              </w:rPr>
            </w:pPr>
            <w:r>
              <w:t>REDACCIÓN</w:t>
            </w:r>
          </w:p>
        </w:tc>
        <w:tc>
          <w:tcPr>
            <w:tcW w:w="2626" w:type="dxa"/>
          </w:tcPr>
          <w:p w14:paraId="7E6E0904" w14:textId="76907239" w:rsidR="00590F47" w:rsidRDefault="00C523DF" w:rsidP="00846CF4">
            <w:pPr>
              <w:spacing w:after="200"/>
              <w:jc w:val="center"/>
            </w:pPr>
            <w:r>
              <w:t>88</w:t>
            </w:r>
          </w:p>
        </w:tc>
      </w:tr>
      <w:tr w:rsidR="00590F47" w14:paraId="40F36263" w14:textId="77777777" w:rsidTr="00EF0C2F">
        <w:trPr>
          <w:trHeight w:val="404"/>
        </w:trPr>
        <w:tc>
          <w:tcPr>
            <w:tcW w:w="2626" w:type="dxa"/>
          </w:tcPr>
          <w:p w14:paraId="2A4436E3" w14:textId="739910C4" w:rsidR="00590F47" w:rsidRDefault="00590F47" w:rsidP="00EF0C2F">
            <w:pPr>
              <w:spacing w:after="200"/>
              <w:rPr>
                <w:rFonts w:ascii="Arial" w:hAnsi="Arial"/>
              </w:rPr>
            </w:pPr>
            <w:r>
              <w:t>ROTACIÓN</w:t>
            </w:r>
          </w:p>
        </w:tc>
        <w:tc>
          <w:tcPr>
            <w:tcW w:w="2626" w:type="dxa"/>
          </w:tcPr>
          <w:p w14:paraId="15FA5DF6" w14:textId="1CB04588" w:rsidR="00590F47" w:rsidRDefault="002F02A1" w:rsidP="00846CF4">
            <w:pPr>
              <w:spacing w:after="200"/>
              <w:jc w:val="center"/>
            </w:pPr>
            <w:r>
              <w:t>1</w:t>
            </w:r>
            <w:r w:rsidR="00C523DF">
              <w:t>06</w:t>
            </w:r>
          </w:p>
        </w:tc>
      </w:tr>
      <w:tr w:rsidR="00590F47" w14:paraId="5E2273EF" w14:textId="77777777" w:rsidTr="00EF0C2F">
        <w:tc>
          <w:tcPr>
            <w:tcW w:w="2626" w:type="dxa"/>
          </w:tcPr>
          <w:p w14:paraId="54123666" w14:textId="77777777" w:rsidR="00590F47" w:rsidRDefault="00590F47" w:rsidP="00EF0C2F">
            <w:pPr>
              <w:spacing w:after="200"/>
            </w:pPr>
            <w:r>
              <w:t>DEVOLUCIÓN</w:t>
            </w:r>
          </w:p>
        </w:tc>
        <w:tc>
          <w:tcPr>
            <w:tcW w:w="2626" w:type="dxa"/>
          </w:tcPr>
          <w:p w14:paraId="59BDB700" w14:textId="3947A7C3" w:rsidR="00590F47" w:rsidRDefault="000F27E5" w:rsidP="00846CF4">
            <w:pPr>
              <w:spacing w:after="200"/>
              <w:jc w:val="center"/>
            </w:pPr>
            <w:r>
              <w:t>3</w:t>
            </w:r>
            <w:r w:rsidR="00F72D88">
              <w:t>2</w:t>
            </w:r>
          </w:p>
        </w:tc>
      </w:tr>
    </w:tbl>
    <w:p w14:paraId="67836EE2" w14:textId="416E6B46" w:rsidR="0011439B" w:rsidRDefault="0011439B" w:rsidP="00A63D2B">
      <w:pPr>
        <w:spacing w:before="240" w:after="200" w:line="360" w:lineRule="auto"/>
        <w:jc w:val="center"/>
        <w:rPr>
          <w:noProof/>
        </w:rPr>
      </w:pPr>
    </w:p>
    <w:p w14:paraId="34A106CA" w14:textId="4416239D" w:rsidR="00396463" w:rsidRDefault="00396463" w:rsidP="00A63D2B">
      <w:pPr>
        <w:spacing w:before="240" w:after="200" w:line="360" w:lineRule="auto"/>
        <w:jc w:val="center"/>
        <w:rPr>
          <w:noProof/>
        </w:rPr>
      </w:pPr>
    </w:p>
    <w:p w14:paraId="40B19F10" w14:textId="1745C3AE" w:rsidR="008D04F8" w:rsidRDefault="008D04F8" w:rsidP="009E1EA2">
      <w:pPr>
        <w:spacing w:before="240" w:after="200" w:line="360" w:lineRule="auto"/>
      </w:pPr>
    </w:p>
    <w:p w14:paraId="198DF7BF" w14:textId="1B737BD0" w:rsidR="00C25E88" w:rsidRDefault="00C25E88" w:rsidP="00A63D2B">
      <w:pPr>
        <w:spacing w:before="240" w:after="200" w:line="360" w:lineRule="auto"/>
        <w:jc w:val="center"/>
      </w:pPr>
    </w:p>
    <w:p w14:paraId="4A962EEF" w14:textId="5604DDAC" w:rsidR="004127D7" w:rsidRDefault="007F3D82" w:rsidP="006C47EF">
      <w:pPr>
        <w:spacing w:before="240" w:after="200" w:line="360" w:lineRule="auto"/>
      </w:pPr>
      <w:r>
        <w:rPr>
          <w:noProof/>
        </w:rPr>
        <w:lastRenderedPageBreak/>
        <w:drawing>
          <wp:inline distT="0" distB="0" distL="0" distR="0" wp14:anchorId="6080D1AD" wp14:editId="7C83F4B6">
            <wp:extent cx="9491167" cy="46958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125" cy="470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8A156A" w14:textId="0AFABAF8" w:rsidR="00C57D68" w:rsidRDefault="0085250F" w:rsidP="00A63D2B">
      <w:pPr>
        <w:spacing w:before="240" w:after="200"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FE37962" wp14:editId="64B494C4">
            <wp:extent cx="8853170" cy="5400040"/>
            <wp:effectExtent l="0" t="0" r="5080" b="1016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45BB482-0D32-4C72-9A07-C0B8C1BAAC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99853C6" w14:textId="628CCF2F" w:rsidR="00C25E88" w:rsidRDefault="0085250F" w:rsidP="00A63D2B">
      <w:pPr>
        <w:spacing w:before="240" w:after="20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EF5245A" wp14:editId="2D806837">
            <wp:extent cx="8850630" cy="5400040"/>
            <wp:effectExtent l="0" t="0" r="7620" b="10160"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7F35091C-26E7-4149-AAC1-025731F307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sectPr w:rsidR="00C25E88" w:rsidSect="001907F7">
      <w:headerReference w:type="default" r:id="rId11"/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C49C2" w14:textId="77777777" w:rsidR="00326CFB" w:rsidRDefault="00326CFB">
      <w:r>
        <w:separator/>
      </w:r>
    </w:p>
  </w:endnote>
  <w:endnote w:type="continuationSeparator" w:id="0">
    <w:p w14:paraId="33C57B51" w14:textId="77777777" w:rsidR="00326CFB" w:rsidRDefault="00326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09B67" w14:textId="77777777" w:rsidR="00326CFB" w:rsidRDefault="00326CFB">
      <w:r>
        <w:separator/>
      </w:r>
    </w:p>
  </w:footnote>
  <w:footnote w:type="continuationSeparator" w:id="0">
    <w:p w14:paraId="74C49369" w14:textId="77777777" w:rsidR="00326CFB" w:rsidRDefault="00326C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DA5E7" w14:textId="7FBB6FD7" w:rsidR="00B94691" w:rsidRDefault="00B94691" w:rsidP="001907F7">
    <w:pPr>
      <w:pStyle w:val="Encabezado"/>
      <w:jc w:val="right"/>
      <w:rPr>
        <w:lang w:val="es-CR"/>
      </w:rPr>
    </w:pPr>
    <w:r>
      <w:rPr>
        <w:lang w:val="es-CR"/>
      </w:rPr>
      <w:t>In</w:t>
    </w:r>
    <w:r w:rsidR="00B2601E">
      <w:rPr>
        <w:lang w:val="es-CR"/>
      </w:rPr>
      <w:t>formes</w:t>
    </w:r>
    <w:r>
      <w:rPr>
        <w:lang w:val="es-CR"/>
      </w:rPr>
      <w:t xml:space="preserve"> de Gestión</w:t>
    </w:r>
  </w:p>
  <w:p w14:paraId="17126A55" w14:textId="01F89BBB" w:rsidR="00B94691" w:rsidRDefault="00401D8C" w:rsidP="00D14D3C">
    <w:pPr>
      <w:pStyle w:val="Encabezado"/>
      <w:pBdr>
        <w:bottom w:val="single" w:sz="4" w:space="1" w:color="auto"/>
      </w:pBdr>
      <w:jc w:val="right"/>
      <w:rPr>
        <w:lang w:val="es-CR"/>
      </w:rPr>
    </w:pPr>
    <w:r>
      <w:rPr>
        <w:lang w:val="es-CR"/>
      </w:rPr>
      <w:t>Informe de</w:t>
    </w:r>
    <w:r w:rsidR="00757D10">
      <w:rPr>
        <w:lang w:val="es-CR"/>
      </w:rPr>
      <w:t xml:space="preserve"> </w:t>
    </w:r>
    <w:r w:rsidR="00C523DF">
      <w:rPr>
        <w:lang w:val="es-CR"/>
      </w:rPr>
      <w:t>octubre</w:t>
    </w:r>
    <w:r w:rsidR="002F02A1">
      <w:rPr>
        <w:lang w:val="es-CR"/>
      </w:rPr>
      <w:t xml:space="preserve"> 202</w:t>
    </w:r>
    <w:r w:rsidR="00E63A12">
      <w:rPr>
        <w:lang w:val="es-CR"/>
      </w:rPr>
      <w:t>2</w:t>
    </w:r>
  </w:p>
  <w:p w14:paraId="3886096F" w14:textId="77777777" w:rsidR="00B94691" w:rsidRPr="001907F7" w:rsidRDefault="00B94691">
    <w:pPr>
      <w:pStyle w:val="Encabezado"/>
      <w:rPr>
        <w:lang w:val="es-C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5608B1"/>
    <w:multiLevelType w:val="hybridMultilevel"/>
    <w:tmpl w:val="117063E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670D8A"/>
    <w:multiLevelType w:val="hybridMultilevel"/>
    <w:tmpl w:val="98AA44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07F7"/>
    <w:rsid w:val="00010788"/>
    <w:rsid w:val="00020CE7"/>
    <w:rsid w:val="0002583D"/>
    <w:rsid w:val="000363BD"/>
    <w:rsid w:val="00036A07"/>
    <w:rsid w:val="00044B1D"/>
    <w:rsid w:val="0004537E"/>
    <w:rsid w:val="00051F2A"/>
    <w:rsid w:val="000521DE"/>
    <w:rsid w:val="00057217"/>
    <w:rsid w:val="00071426"/>
    <w:rsid w:val="00072852"/>
    <w:rsid w:val="000738CA"/>
    <w:rsid w:val="00074774"/>
    <w:rsid w:val="00076850"/>
    <w:rsid w:val="000809F7"/>
    <w:rsid w:val="000815D2"/>
    <w:rsid w:val="00090B78"/>
    <w:rsid w:val="000B4250"/>
    <w:rsid w:val="000B7B36"/>
    <w:rsid w:val="000C0522"/>
    <w:rsid w:val="000C43D5"/>
    <w:rsid w:val="000C5848"/>
    <w:rsid w:val="000D2072"/>
    <w:rsid w:val="000D6F45"/>
    <w:rsid w:val="000E31A7"/>
    <w:rsid w:val="000F27E5"/>
    <w:rsid w:val="000F79AB"/>
    <w:rsid w:val="00101164"/>
    <w:rsid w:val="00103ECF"/>
    <w:rsid w:val="001041D8"/>
    <w:rsid w:val="001046D6"/>
    <w:rsid w:val="00106561"/>
    <w:rsid w:val="001101D8"/>
    <w:rsid w:val="0011439B"/>
    <w:rsid w:val="00116FCA"/>
    <w:rsid w:val="001204A1"/>
    <w:rsid w:val="001228FB"/>
    <w:rsid w:val="00123450"/>
    <w:rsid w:val="0014438C"/>
    <w:rsid w:val="00144533"/>
    <w:rsid w:val="001464C1"/>
    <w:rsid w:val="001530C9"/>
    <w:rsid w:val="00153E90"/>
    <w:rsid w:val="00154A5B"/>
    <w:rsid w:val="001605AF"/>
    <w:rsid w:val="0016079A"/>
    <w:rsid w:val="00162ACA"/>
    <w:rsid w:val="00162E55"/>
    <w:rsid w:val="00163475"/>
    <w:rsid w:val="001677B6"/>
    <w:rsid w:val="0017049A"/>
    <w:rsid w:val="0017318F"/>
    <w:rsid w:val="00173BCD"/>
    <w:rsid w:val="001824B1"/>
    <w:rsid w:val="001865E8"/>
    <w:rsid w:val="001875BA"/>
    <w:rsid w:val="00190628"/>
    <w:rsid w:val="001907F7"/>
    <w:rsid w:val="00191BD3"/>
    <w:rsid w:val="0019306D"/>
    <w:rsid w:val="00195B35"/>
    <w:rsid w:val="001973B5"/>
    <w:rsid w:val="001A4C64"/>
    <w:rsid w:val="001A6067"/>
    <w:rsid w:val="001A6191"/>
    <w:rsid w:val="001B0E61"/>
    <w:rsid w:val="001B49F6"/>
    <w:rsid w:val="001B6814"/>
    <w:rsid w:val="001C21DF"/>
    <w:rsid w:val="001C2F7F"/>
    <w:rsid w:val="001C4505"/>
    <w:rsid w:val="001D0703"/>
    <w:rsid w:val="001D2879"/>
    <w:rsid w:val="001D33CC"/>
    <w:rsid w:val="001D4782"/>
    <w:rsid w:val="001E0602"/>
    <w:rsid w:val="001E5935"/>
    <w:rsid w:val="001F440E"/>
    <w:rsid w:val="001F72D0"/>
    <w:rsid w:val="001F7794"/>
    <w:rsid w:val="00201A07"/>
    <w:rsid w:val="00201BB0"/>
    <w:rsid w:val="00202958"/>
    <w:rsid w:val="00205D3D"/>
    <w:rsid w:val="00205E69"/>
    <w:rsid w:val="00205E74"/>
    <w:rsid w:val="002214C2"/>
    <w:rsid w:val="00223E12"/>
    <w:rsid w:val="00226C83"/>
    <w:rsid w:val="00234E92"/>
    <w:rsid w:val="00245F03"/>
    <w:rsid w:val="00251787"/>
    <w:rsid w:val="00251C90"/>
    <w:rsid w:val="00261195"/>
    <w:rsid w:val="002702BD"/>
    <w:rsid w:val="00270CF7"/>
    <w:rsid w:val="00281EC7"/>
    <w:rsid w:val="002878FA"/>
    <w:rsid w:val="0029140B"/>
    <w:rsid w:val="00291B17"/>
    <w:rsid w:val="002A193D"/>
    <w:rsid w:val="002A2B18"/>
    <w:rsid w:val="002C5336"/>
    <w:rsid w:val="002E18E4"/>
    <w:rsid w:val="002E1D28"/>
    <w:rsid w:val="002E218F"/>
    <w:rsid w:val="002F02A1"/>
    <w:rsid w:val="002F1DED"/>
    <w:rsid w:val="002F1FA9"/>
    <w:rsid w:val="003012D2"/>
    <w:rsid w:val="00301E66"/>
    <w:rsid w:val="00302DD1"/>
    <w:rsid w:val="00314E32"/>
    <w:rsid w:val="003202C1"/>
    <w:rsid w:val="00320842"/>
    <w:rsid w:val="00326CFB"/>
    <w:rsid w:val="0033037A"/>
    <w:rsid w:val="00331232"/>
    <w:rsid w:val="00334842"/>
    <w:rsid w:val="00334AB9"/>
    <w:rsid w:val="00334EA3"/>
    <w:rsid w:val="00335213"/>
    <w:rsid w:val="00342E6E"/>
    <w:rsid w:val="00344722"/>
    <w:rsid w:val="00344FFD"/>
    <w:rsid w:val="00346A1F"/>
    <w:rsid w:val="0035286B"/>
    <w:rsid w:val="00364C54"/>
    <w:rsid w:val="00366801"/>
    <w:rsid w:val="0036794D"/>
    <w:rsid w:val="00371582"/>
    <w:rsid w:val="00371CD9"/>
    <w:rsid w:val="00372D57"/>
    <w:rsid w:val="0037379B"/>
    <w:rsid w:val="00381C60"/>
    <w:rsid w:val="00386683"/>
    <w:rsid w:val="00386AB9"/>
    <w:rsid w:val="00390FB7"/>
    <w:rsid w:val="003937DF"/>
    <w:rsid w:val="00394AF5"/>
    <w:rsid w:val="00394DF2"/>
    <w:rsid w:val="00396463"/>
    <w:rsid w:val="003A1742"/>
    <w:rsid w:val="003C1160"/>
    <w:rsid w:val="003C5344"/>
    <w:rsid w:val="003D0743"/>
    <w:rsid w:val="003D137C"/>
    <w:rsid w:val="003D1658"/>
    <w:rsid w:val="003D3795"/>
    <w:rsid w:val="003E0302"/>
    <w:rsid w:val="003E13DD"/>
    <w:rsid w:val="003E4C8D"/>
    <w:rsid w:val="003F580D"/>
    <w:rsid w:val="00401D8C"/>
    <w:rsid w:val="00404ACE"/>
    <w:rsid w:val="004127D7"/>
    <w:rsid w:val="00413EE0"/>
    <w:rsid w:val="004204F2"/>
    <w:rsid w:val="00432735"/>
    <w:rsid w:val="00432AD9"/>
    <w:rsid w:val="004371C7"/>
    <w:rsid w:val="00443180"/>
    <w:rsid w:val="004434C2"/>
    <w:rsid w:val="00443ED9"/>
    <w:rsid w:val="004537BB"/>
    <w:rsid w:val="00454077"/>
    <w:rsid w:val="00471F96"/>
    <w:rsid w:val="00476031"/>
    <w:rsid w:val="00477744"/>
    <w:rsid w:val="00481393"/>
    <w:rsid w:val="0048207E"/>
    <w:rsid w:val="00484225"/>
    <w:rsid w:val="00487A6E"/>
    <w:rsid w:val="004A2BAD"/>
    <w:rsid w:val="004A5104"/>
    <w:rsid w:val="004B2FC6"/>
    <w:rsid w:val="004B6F1A"/>
    <w:rsid w:val="004C30E2"/>
    <w:rsid w:val="004C4783"/>
    <w:rsid w:val="004C6E0A"/>
    <w:rsid w:val="004D0744"/>
    <w:rsid w:val="004D6114"/>
    <w:rsid w:val="004E0DA6"/>
    <w:rsid w:val="004E3978"/>
    <w:rsid w:val="004F1E9D"/>
    <w:rsid w:val="005006E7"/>
    <w:rsid w:val="0050207B"/>
    <w:rsid w:val="00502F06"/>
    <w:rsid w:val="0050506F"/>
    <w:rsid w:val="0050711D"/>
    <w:rsid w:val="00507841"/>
    <w:rsid w:val="0051616D"/>
    <w:rsid w:val="00520B18"/>
    <w:rsid w:val="00523DF8"/>
    <w:rsid w:val="00524E92"/>
    <w:rsid w:val="00526068"/>
    <w:rsid w:val="00527EC2"/>
    <w:rsid w:val="00545EE0"/>
    <w:rsid w:val="00555E9A"/>
    <w:rsid w:val="00565DF7"/>
    <w:rsid w:val="0057489C"/>
    <w:rsid w:val="00581A3A"/>
    <w:rsid w:val="00581E35"/>
    <w:rsid w:val="0058783A"/>
    <w:rsid w:val="00590F47"/>
    <w:rsid w:val="005A3C5A"/>
    <w:rsid w:val="005A4903"/>
    <w:rsid w:val="005B310D"/>
    <w:rsid w:val="005B4BB4"/>
    <w:rsid w:val="005B5802"/>
    <w:rsid w:val="005C1065"/>
    <w:rsid w:val="005C7BEE"/>
    <w:rsid w:val="005D6FBF"/>
    <w:rsid w:val="005E1B76"/>
    <w:rsid w:val="005E7F1B"/>
    <w:rsid w:val="00600C9E"/>
    <w:rsid w:val="0060246A"/>
    <w:rsid w:val="00604545"/>
    <w:rsid w:val="00605DA1"/>
    <w:rsid w:val="00615668"/>
    <w:rsid w:val="00623FB5"/>
    <w:rsid w:val="00625C91"/>
    <w:rsid w:val="006269A6"/>
    <w:rsid w:val="00626EAE"/>
    <w:rsid w:val="00637683"/>
    <w:rsid w:val="006420E5"/>
    <w:rsid w:val="006437EB"/>
    <w:rsid w:val="00657FF2"/>
    <w:rsid w:val="00661F49"/>
    <w:rsid w:val="00672A65"/>
    <w:rsid w:val="006844F7"/>
    <w:rsid w:val="0068649B"/>
    <w:rsid w:val="006875D0"/>
    <w:rsid w:val="00691860"/>
    <w:rsid w:val="00694202"/>
    <w:rsid w:val="006A3E6C"/>
    <w:rsid w:val="006A4942"/>
    <w:rsid w:val="006A7D0D"/>
    <w:rsid w:val="006B09F7"/>
    <w:rsid w:val="006B3803"/>
    <w:rsid w:val="006C403B"/>
    <w:rsid w:val="006C47EF"/>
    <w:rsid w:val="006C5989"/>
    <w:rsid w:val="006C75DC"/>
    <w:rsid w:val="006D132F"/>
    <w:rsid w:val="006D3F4B"/>
    <w:rsid w:val="006D6076"/>
    <w:rsid w:val="006E1CB8"/>
    <w:rsid w:val="006E3219"/>
    <w:rsid w:val="006E6392"/>
    <w:rsid w:val="006F0045"/>
    <w:rsid w:val="006F1B39"/>
    <w:rsid w:val="00705E7A"/>
    <w:rsid w:val="007111D6"/>
    <w:rsid w:val="00715EBB"/>
    <w:rsid w:val="007176A7"/>
    <w:rsid w:val="007300E1"/>
    <w:rsid w:val="00734B8F"/>
    <w:rsid w:val="00745F78"/>
    <w:rsid w:val="00746FC4"/>
    <w:rsid w:val="007555C0"/>
    <w:rsid w:val="00757533"/>
    <w:rsid w:val="00757D10"/>
    <w:rsid w:val="00761F83"/>
    <w:rsid w:val="007672B4"/>
    <w:rsid w:val="00767B83"/>
    <w:rsid w:val="00781344"/>
    <w:rsid w:val="0078319B"/>
    <w:rsid w:val="00792670"/>
    <w:rsid w:val="00794B03"/>
    <w:rsid w:val="00794F45"/>
    <w:rsid w:val="007A1CED"/>
    <w:rsid w:val="007A4B48"/>
    <w:rsid w:val="007A4BD7"/>
    <w:rsid w:val="007A5B94"/>
    <w:rsid w:val="007B7490"/>
    <w:rsid w:val="007C0F68"/>
    <w:rsid w:val="007C1A31"/>
    <w:rsid w:val="007C1F78"/>
    <w:rsid w:val="007D6C5E"/>
    <w:rsid w:val="007E1A2D"/>
    <w:rsid w:val="007E3964"/>
    <w:rsid w:val="007E578F"/>
    <w:rsid w:val="007E706B"/>
    <w:rsid w:val="007F0E24"/>
    <w:rsid w:val="007F3927"/>
    <w:rsid w:val="007F3D82"/>
    <w:rsid w:val="007F53CE"/>
    <w:rsid w:val="007F78BA"/>
    <w:rsid w:val="00800E23"/>
    <w:rsid w:val="0080100C"/>
    <w:rsid w:val="00811BEA"/>
    <w:rsid w:val="00811C9C"/>
    <w:rsid w:val="008137A0"/>
    <w:rsid w:val="00813A04"/>
    <w:rsid w:val="008147F2"/>
    <w:rsid w:val="00814FD2"/>
    <w:rsid w:val="00834825"/>
    <w:rsid w:val="00835369"/>
    <w:rsid w:val="00840A99"/>
    <w:rsid w:val="00846CF4"/>
    <w:rsid w:val="0085250F"/>
    <w:rsid w:val="00856A6A"/>
    <w:rsid w:val="00864B48"/>
    <w:rsid w:val="00870960"/>
    <w:rsid w:val="00871D22"/>
    <w:rsid w:val="008750C2"/>
    <w:rsid w:val="008835AD"/>
    <w:rsid w:val="0088400E"/>
    <w:rsid w:val="00884444"/>
    <w:rsid w:val="0088505B"/>
    <w:rsid w:val="0088663C"/>
    <w:rsid w:val="00892182"/>
    <w:rsid w:val="008967D5"/>
    <w:rsid w:val="008A6CF5"/>
    <w:rsid w:val="008B4643"/>
    <w:rsid w:val="008B6115"/>
    <w:rsid w:val="008C4639"/>
    <w:rsid w:val="008C4DB4"/>
    <w:rsid w:val="008D04F8"/>
    <w:rsid w:val="008D07BB"/>
    <w:rsid w:val="008D451B"/>
    <w:rsid w:val="008D56B6"/>
    <w:rsid w:val="008D5739"/>
    <w:rsid w:val="008D57D8"/>
    <w:rsid w:val="008F0276"/>
    <w:rsid w:val="008F2779"/>
    <w:rsid w:val="008F3246"/>
    <w:rsid w:val="008F3B19"/>
    <w:rsid w:val="009050D8"/>
    <w:rsid w:val="00912BDE"/>
    <w:rsid w:val="00913DA1"/>
    <w:rsid w:val="00914705"/>
    <w:rsid w:val="0092756E"/>
    <w:rsid w:val="00932714"/>
    <w:rsid w:val="00937ACE"/>
    <w:rsid w:val="00943CF6"/>
    <w:rsid w:val="00951F1B"/>
    <w:rsid w:val="00953089"/>
    <w:rsid w:val="00957F30"/>
    <w:rsid w:val="00960A4E"/>
    <w:rsid w:val="00965E17"/>
    <w:rsid w:val="00971755"/>
    <w:rsid w:val="0097208A"/>
    <w:rsid w:val="00974E2C"/>
    <w:rsid w:val="00987573"/>
    <w:rsid w:val="009A7BBC"/>
    <w:rsid w:val="009B02AD"/>
    <w:rsid w:val="009B4B70"/>
    <w:rsid w:val="009C4441"/>
    <w:rsid w:val="009D0097"/>
    <w:rsid w:val="009D07A3"/>
    <w:rsid w:val="009D1FF9"/>
    <w:rsid w:val="009E1EA2"/>
    <w:rsid w:val="009E436F"/>
    <w:rsid w:val="009F509D"/>
    <w:rsid w:val="009F5802"/>
    <w:rsid w:val="009F7BFF"/>
    <w:rsid w:val="00A01812"/>
    <w:rsid w:val="00A02C8D"/>
    <w:rsid w:val="00A041BC"/>
    <w:rsid w:val="00A051CB"/>
    <w:rsid w:val="00A14D78"/>
    <w:rsid w:val="00A16002"/>
    <w:rsid w:val="00A168C2"/>
    <w:rsid w:val="00A17180"/>
    <w:rsid w:val="00A22CB5"/>
    <w:rsid w:val="00A2347A"/>
    <w:rsid w:val="00A24CE7"/>
    <w:rsid w:val="00A326C3"/>
    <w:rsid w:val="00A33EF8"/>
    <w:rsid w:val="00A54144"/>
    <w:rsid w:val="00A6156D"/>
    <w:rsid w:val="00A63D2B"/>
    <w:rsid w:val="00A64CD7"/>
    <w:rsid w:val="00A73102"/>
    <w:rsid w:val="00A77C28"/>
    <w:rsid w:val="00AA05A9"/>
    <w:rsid w:val="00AA0958"/>
    <w:rsid w:val="00AA141B"/>
    <w:rsid w:val="00AB4E33"/>
    <w:rsid w:val="00AB5F59"/>
    <w:rsid w:val="00AD1A57"/>
    <w:rsid w:val="00AD3038"/>
    <w:rsid w:val="00AD7354"/>
    <w:rsid w:val="00AE0CA3"/>
    <w:rsid w:val="00AE1202"/>
    <w:rsid w:val="00B02AD0"/>
    <w:rsid w:val="00B16106"/>
    <w:rsid w:val="00B2116D"/>
    <w:rsid w:val="00B22929"/>
    <w:rsid w:val="00B2410F"/>
    <w:rsid w:val="00B2601E"/>
    <w:rsid w:val="00B310DD"/>
    <w:rsid w:val="00B31888"/>
    <w:rsid w:val="00B35EAE"/>
    <w:rsid w:val="00B3709C"/>
    <w:rsid w:val="00B46BC7"/>
    <w:rsid w:val="00B53650"/>
    <w:rsid w:val="00B65FEE"/>
    <w:rsid w:val="00B70A99"/>
    <w:rsid w:val="00B72162"/>
    <w:rsid w:val="00B76722"/>
    <w:rsid w:val="00B832ED"/>
    <w:rsid w:val="00B832F5"/>
    <w:rsid w:val="00B85F8E"/>
    <w:rsid w:val="00B91404"/>
    <w:rsid w:val="00B92549"/>
    <w:rsid w:val="00B94691"/>
    <w:rsid w:val="00BA2560"/>
    <w:rsid w:val="00BA415A"/>
    <w:rsid w:val="00BA72AE"/>
    <w:rsid w:val="00BB45FE"/>
    <w:rsid w:val="00BB662F"/>
    <w:rsid w:val="00BC0FF3"/>
    <w:rsid w:val="00BC2680"/>
    <w:rsid w:val="00BC7F17"/>
    <w:rsid w:val="00C11D19"/>
    <w:rsid w:val="00C25E88"/>
    <w:rsid w:val="00C32C65"/>
    <w:rsid w:val="00C35BC4"/>
    <w:rsid w:val="00C4721E"/>
    <w:rsid w:val="00C523DF"/>
    <w:rsid w:val="00C5525A"/>
    <w:rsid w:val="00C57D68"/>
    <w:rsid w:val="00C6071C"/>
    <w:rsid w:val="00C72E23"/>
    <w:rsid w:val="00C86537"/>
    <w:rsid w:val="00C86C2F"/>
    <w:rsid w:val="00CA3FFC"/>
    <w:rsid w:val="00CA7B4D"/>
    <w:rsid w:val="00CB2156"/>
    <w:rsid w:val="00CB346D"/>
    <w:rsid w:val="00CB5DEA"/>
    <w:rsid w:val="00CC1B05"/>
    <w:rsid w:val="00CD27E2"/>
    <w:rsid w:val="00CE0594"/>
    <w:rsid w:val="00CE3340"/>
    <w:rsid w:val="00CE60BB"/>
    <w:rsid w:val="00D06236"/>
    <w:rsid w:val="00D0650F"/>
    <w:rsid w:val="00D11228"/>
    <w:rsid w:val="00D11B4E"/>
    <w:rsid w:val="00D14D3C"/>
    <w:rsid w:val="00D16B8F"/>
    <w:rsid w:val="00D20032"/>
    <w:rsid w:val="00D22129"/>
    <w:rsid w:val="00D322DB"/>
    <w:rsid w:val="00D46A58"/>
    <w:rsid w:val="00D54FC4"/>
    <w:rsid w:val="00D62546"/>
    <w:rsid w:val="00D67360"/>
    <w:rsid w:val="00D716DC"/>
    <w:rsid w:val="00D71F37"/>
    <w:rsid w:val="00D80A1E"/>
    <w:rsid w:val="00D82A67"/>
    <w:rsid w:val="00D82F69"/>
    <w:rsid w:val="00D85BF3"/>
    <w:rsid w:val="00DA04D3"/>
    <w:rsid w:val="00DA2CE0"/>
    <w:rsid w:val="00DA376C"/>
    <w:rsid w:val="00DB4FF8"/>
    <w:rsid w:val="00DB58EE"/>
    <w:rsid w:val="00DB7FFE"/>
    <w:rsid w:val="00DD74C6"/>
    <w:rsid w:val="00DD7581"/>
    <w:rsid w:val="00DE02BC"/>
    <w:rsid w:val="00DE3A39"/>
    <w:rsid w:val="00DF7590"/>
    <w:rsid w:val="00E05E9B"/>
    <w:rsid w:val="00E0689B"/>
    <w:rsid w:val="00E15F3E"/>
    <w:rsid w:val="00E172D1"/>
    <w:rsid w:val="00E2762C"/>
    <w:rsid w:val="00E4096D"/>
    <w:rsid w:val="00E463CC"/>
    <w:rsid w:val="00E46DE6"/>
    <w:rsid w:val="00E51149"/>
    <w:rsid w:val="00E551B8"/>
    <w:rsid w:val="00E60AF7"/>
    <w:rsid w:val="00E63373"/>
    <w:rsid w:val="00E63A12"/>
    <w:rsid w:val="00E721F2"/>
    <w:rsid w:val="00E7358A"/>
    <w:rsid w:val="00E821E2"/>
    <w:rsid w:val="00E84D02"/>
    <w:rsid w:val="00E85061"/>
    <w:rsid w:val="00E852AC"/>
    <w:rsid w:val="00E8633E"/>
    <w:rsid w:val="00E9347F"/>
    <w:rsid w:val="00E9469B"/>
    <w:rsid w:val="00E964DE"/>
    <w:rsid w:val="00EA3E47"/>
    <w:rsid w:val="00EA7AE1"/>
    <w:rsid w:val="00EB0823"/>
    <w:rsid w:val="00EB1095"/>
    <w:rsid w:val="00EC1F92"/>
    <w:rsid w:val="00EC2405"/>
    <w:rsid w:val="00EC6AF3"/>
    <w:rsid w:val="00EC7419"/>
    <w:rsid w:val="00EC7872"/>
    <w:rsid w:val="00ED1634"/>
    <w:rsid w:val="00ED6605"/>
    <w:rsid w:val="00EF0C2F"/>
    <w:rsid w:val="00EF4D54"/>
    <w:rsid w:val="00EF5809"/>
    <w:rsid w:val="00EF59E2"/>
    <w:rsid w:val="00F11DAF"/>
    <w:rsid w:val="00F1418A"/>
    <w:rsid w:val="00F14AD4"/>
    <w:rsid w:val="00F155E1"/>
    <w:rsid w:val="00F156EE"/>
    <w:rsid w:val="00F172E1"/>
    <w:rsid w:val="00F23825"/>
    <w:rsid w:val="00F23A70"/>
    <w:rsid w:val="00F23D84"/>
    <w:rsid w:val="00F24DE9"/>
    <w:rsid w:val="00F31204"/>
    <w:rsid w:val="00F3408D"/>
    <w:rsid w:val="00F35493"/>
    <w:rsid w:val="00F37687"/>
    <w:rsid w:val="00F40729"/>
    <w:rsid w:val="00F44064"/>
    <w:rsid w:val="00F516AD"/>
    <w:rsid w:val="00F675D5"/>
    <w:rsid w:val="00F72D88"/>
    <w:rsid w:val="00F74DF6"/>
    <w:rsid w:val="00F765CC"/>
    <w:rsid w:val="00F82A89"/>
    <w:rsid w:val="00F8710E"/>
    <w:rsid w:val="00F961F7"/>
    <w:rsid w:val="00F97123"/>
    <w:rsid w:val="00F97A91"/>
    <w:rsid w:val="00FA0748"/>
    <w:rsid w:val="00FA55D0"/>
    <w:rsid w:val="00FA6874"/>
    <w:rsid w:val="00FA6F39"/>
    <w:rsid w:val="00FB2B40"/>
    <w:rsid w:val="00FC117F"/>
    <w:rsid w:val="00FC465C"/>
    <w:rsid w:val="00FC68DD"/>
    <w:rsid w:val="00FD0B37"/>
    <w:rsid w:val="00FD21EE"/>
    <w:rsid w:val="00FD4C3D"/>
    <w:rsid w:val="00FD4ED7"/>
    <w:rsid w:val="00FE4107"/>
    <w:rsid w:val="00FE6BE7"/>
    <w:rsid w:val="00FF3B58"/>
    <w:rsid w:val="00FF6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494E5A5"/>
  <w15:docId w15:val="{07E6BB03-EF64-4BC0-BF45-E58DE6573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907F7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1907F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1907F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6A494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7A5B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9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pivotSource>
    <c:name>[(G3, G4) Tiempo de tramitacion Agosto 2017.xls]G3 Análisis!G3TABLA</c:name>
    <c:fmtId val="-1"/>
  </c:pivotSource>
  <c:chart>
    <c:title>
      <c:tx>
        <c:rich>
          <a:bodyPr/>
          <a:lstStyle/>
          <a:p>
            <a:pPr>
              <a:defRPr sz="1400" b="1" i="0" u="none" strike="noStrike" baseline="0">
                <a:latin typeface="Arial"/>
                <a:ea typeface="Arial"/>
                <a:cs typeface="Arial"/>
              </a:defRPr>
            </a:pPr>
            <a:r>
              <a:rPr lang="es-CR"/>
              <a:t>Tiempo de tramitación de expedientes Sala Segunda (2019-2022)</a:t>
            </a:r>
          </a:p>
        </c:rich>
      </c:tx>
      <c:overlay val="0"/>
      <c:spPr>
        <a:noFill/>
        <a:ln w="25400">
          <a:noFill/>
        </a:ln>
      </c:spPr>
    </c:title>
    <c:autoTitleDeleted val="0"/>
    <c:pivotFmts>
      <c:pivotFmt>
        <c:idx val="0"/>
        <c:spPr>
          <a:solidFill>
            <a:srgbClr val="FFCC00"/>
          </a:solidFill>
          <a:effectLst/>
        </c:spPr>
        <c:marker>
          <c:symbol val="none"/>
        </c:marker>
        <c:dLbl>
          <c:idx val="0"/>
          <c:spPr>
            <a:noFill/>
            <a:ln w="25400">
              <a:noFill/>
            </a:ln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700" b="0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inBase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ln w="25400">
            <a:solidFill>
              <a:srgbClr val="800000"/>
            </a:solidFill>
            <a:prstDash val="solid"/>
          </a:ln>
        </c:spPr>
        <c:marker>
          <c:symbol val="circle"/>
          <c:size val="5"/>
          <c:spPr>
            <a:solidFill>
              <a:srgbClr val="FFFFFF"/>
            </a:solidFill>
            <a:ln>
              <a:solidFill>
                <a:srgbClr val="800000"/>
              </a:solidFill>
              <a:prstDash val="solid"/>
            </a:ln>
          </c:spPr>
        </c:marker>
        <c:dLbl>
          <c:idx val="0"/>
          <c:spPr>
            <a:noFill/>
            <a:ln w="25400">
              <a:noFill/>
            </a:ln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0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rgbClr val="FFCC00"/>
          </a:solidFill>
          <a:effectLst/>
        </c:spPr>
        <c:marker>
          <c:symbol val="none"/>
        </c:marker>
        <c:dLbl>
          <c:idx val="0"/>
          <c:spPr>
            <a:noFill/>
            <a:ln w="25400">
              <a:noFill/>
            </a:ln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700" b="0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inBase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ln w="25400">
            <a:solidFill>
              <a:srgbClr val="800000"/>
            </a:solidFill>
            <a:prstDash val="solid"/>
          </a:ln>
        </c:spPr>
        <c:marker>
          <c:symbol val="circle"/>
          <c:size val="5"/>
          <c:spPr>
            <a:solidFill>
              <a:srgbClr val="FFFFFF"/>
            </a:solidFill>
            <a:ln>
              <a:solidFill>
                <a:srgbClr val="800000"/>
              </a:solidFill>
              <a:prstDash val="solid"/>
            </a:ln>
          </c:spPr>
        </c:marker>
        <c:dLbl>
          <c:idx val="0"/>
          <c:spPr>
            <a:noFill/>
            <a:ln w="25400">
              <a:noFill/>
            </a:ln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0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rgbClr val="FFCC00"/>
          </a:solidFill>
          <a:effectLst/>
        </c:spPr>
        <c:marker>
          <c:symbol val="none"/>
        </c:marker>
        <c:dLbl>
          <c:idx val="0"/>
          <c:spPr>
            <a:noFill/>
            <a:ln w="25400">
              <a:noFill/>
            </a:ln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700" b="0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inBase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ln w="25400">
            <a:solidFill>
              <a:srgbClr val="800000"/>
            </a:solidFill>
            <a:prstDash val="solid"/>
          </a:ln>
        </c:spPr>
        <c:marker>
          <c:symbol val="circle"/>
          <c:size val="5"/>
          <c:spPr>
            <a:solidFill>
              <a:srgbClr val="FFFFFF"/>
            </a:solidFill>
            <a:ln>
              <a:solidFill>
                <a:srgbClr val="800000"/>
              </a:solidFill>
              <a:prstDash val="solid"/>
            </a:ln>
          </c:spPr>
        </c:marker>
        <c:dLbl>
          <c:idx val="0"/>
          <c:spPr>
            <a:noFill/>
            <a:ln w="25400">
              <a:noFill/>
            </a:ln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0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'G3 Análisis'!$E$6:$E$7</c:f>
              <c:strCache>
                <c:ptCount val="1"/>
                <c:pt idx="0">
                  <c:v>Promedio de TIEMPO TRAMITACION VOTACION</c:v>
                </c:pt>
              </c:strCache>
            </c:strRef>
          </c:tx>
          <c:spPr>
            <a:solidFill>
              <a:srgbClr val="FFCC00"/>
            </a:solidFill>
            <a:effectLst/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700" b="0" i="0" u="none" strike="noStrike" baseline="0"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'G3 Análisis'!$C$8:$D$53</c:f>
              <c:multiLvlStrCache>
                <c:ptCount val="46"/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</c:v>
                  </c:pt>
                  <c:pt idx="13">
                    <c:v>2</c:v>
                  </c:pt>
                  <c:pt idx="14">
                    <c:v>3</c:v>
                  </c:pt>
                  <c:pt idx="15">
                    <c:v>4</c:v>
                  </c:pt>
                  <c:pt idx="16">
                    <c:v>5</c:v>
                  </c:pt>
                  <c:pt idx="17">
                    <c:v>6</c:v>
                  </c:pt>
                  <c:pt idx="18">
                    <c:v>7</c:v>
                  </c:pt>
                  <c:pt idx="19">
                    <c:v>8</c:v>
                  </c:pt>
                  <c:pt idx="20">
                    <c:v>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1</c:v>
                  </c:pt>
                  <c:pt idx="25">
                    <c:v>2</c:v>
                  </c:pt>
                  <c:pt idx="26">
                    <c:v>3</c:v>
                  </c:pt>
                  <c:pt idx="27">
                    <c:v>4</c:v>
                  </c:pt>
                  <c:pt idx="28">
                    <c:v>5</c:v>
                  </c:pt>
                  <c:pt idx="29">
                    <c:v>6</c:v>
                  </c:pt>
                  <c:pt idx="30">
                    <c:v>7</c:v>
                  </c:pt>
                  <c:pt idx="31">
                    <c:v>8</c:v>
                  </c:pt>
                  <c:pt idx="32">
                    <c:v>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1</c:v>
                  </c:pt>
                  <c:pt idx="37">
                    <c:v>2</c:v>
                  </c:pt>
                  <c:pt idx="38">
                    <c:v>3</c:v>
                  </c:pt>
                  <c:pt idx="39">
                    <c:v>4</c:v>
                  </c:pt>
                  <c:pt idx="40">
                    <c:v>5</c:v>
                  </c:pt>
                  <c:pt idx="41">
                    <c:v>6</c:v>
                  </c:pt>
                  <c:pt idx="42">
                    <c:v>7</c:v>
                  </c:pt>
                  <c:pt idx="43">
                    <c:v>8</c:v>
                  </c:pt>
                  <c:pt idx="44">
                    <c:v>9</c:v>
                  </c:pt>
                  <c:pt idx="45">
                    <c:v>10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'G3 Análisis'!$E$8:$E$53</c:f>
              <c:numCache>
                <c:formatCode>0.0</c:formatCode>
                <c:ptCount val="46"/>
                <c:pt idx="0">
                  <c:v>7.3850837138508378</c:v>
                </c:pt>
                <c:pt idx="1">
                  <c:v>9.2125879303961522</c:v>
                </c:pt>
                <c:pt idx="2">
                  <c:v>9.3910958904109574</c:v>
                </c:pt>
                <c:pt idx="3">
                  <c:v>9.3692054794520523</c:v>
                </c:pt>
                <c:pt idx="4">
                  <c:v>10.752677459526772</c:v>
                </c:pt>
                <c:pt idx="5">
                  <c:v>10.341947426878932</c:v>
                </c:pt>
                <c:pt idx="6">
                  <c:v>10.446414182111203</c:v>
                </c:pt>
                <c:pt idx="7">
                  <c:v>9.9896857373086227</c:v>
                </c:pt>
                <c:pt idx="8">
                  <c:v>10.628722934158201</c:v>
                </c:pt>
                <c:pt idx="9">
                  <c:v>10.665205479452053</c:v>
                </c:pt>
                <c:pt idx="10">
                  <c:v>9.2990516332982072</c:v>
                </c:pt>
                <c:pt idx="11">
                  <c:v>8.2072229140722293</c:v>
                </c:pt>
                <c:pt idx="12">
                  <c:v>10.015829528158299</c:v>
                </c:pt>
                <c:pt idx="13">
                  <c:v>11.428767123287672</c:v>
                </c:pt>
                <c:pt idx="14">
                  <c:v>10.019178082191779</c:v>
                </c:pt>
                <c:pt idx="15">
                  <c:v>10.159843444227004</c:v>
                </c:pt>
                <c:pt idx="16">
                  <c:v>10.394232155731794</c:v>
                </c:pt>
                <c:pt idx="17">
                  <c:v>11.57513171759747</c:v>
                </c:pt>
                <c:pt idx="18">
                  <c:v>11.756947162426618</c:v>
                </c:pt>
                <c:pt idx="19">
                  <c:v>10.438356164383558</c:v>
                </c:pt>
                <c:pt idx="20">
                  <c:v>10.533412745681954</c:v>
                </c:pt>
                <c:pt idx="21">
                  <c:v>10.463013698630139</c:v>
                </c:pt>
                <c:pt idx="22">
                  <c:v>9.628588445503274</c:v>
                </c:pt>
                <c:pt idx="23">
                  <c:v>12.345205479452055</c:v>
                </c:pt>
                <c:pt idx="24">
                  <c:v>10.792085235920851</c:v>
                </c:pt>
                <c:pt idx="25">
                  <c:v>11.433360193392422</c:v>
                </c:pt>
                <c:pt idx="26">
                  <c:v>9.3818181818181881</c:v>
                </c:pt>
                <c:pt idx="27">
                  <c:v>8.4137484433374805</c:v>
                </c:pt>
                <c:pt idx="28">
                  <c:v>10.222363810130611</c:v>
                </c:pt>
                <c:pt idx="29">
                  <c:v>9.2975342465753421</c:v>
                </c:pt>
                <c:pt idx="30">
                  <c:v>9.2493150684931518</c:v>
                </c:pt>
                <c:pt idx="31">
                  <c:v>9.2255398188994633</c:v>
                </c:pt>
                <c:pt idx="32">
                  <c:v>10.172994129158511</c:v>
                </c:pt>
                <c:pt idx="33">
                  <c:v>9.4575342465753423</c:v>
                </c:pt>
                <c:pt idx="34">
                  <c:v>10.165479452054793</c:v>
                </c:pt>
                <c:pt idx="35">
                  <c:v>11.625205479452054</c:v>
                </c:pt>
                <c:pt idx="36">
                  <c:v>9.8872918861959942</c:v>
                </c:pt>
                <c:pt idx="37">
                  <c:v>9.0152641878669293</c:v>
                </c:pt>
                <c:pt idx="38">
                  <c:v>10.263622526636228</c:v>
                </c:pt>
                <c:pt idx="39">
                  <c:v>8.7287671232876711</c:v>
                </c:pt>
                <c:pt idx="40">
                  <c:v>9.0971796937953258</c:v>
                </c:pt>
                <c:pt idx="41">
                  <c:v>8.9437302423603811</c:v>
                </c:pt>
                <c:pt idx="42">
                  <c:v>9.3913043478260878</c:v>
                </c:pt>
                <c:pt idx="43">
                  <c:v>8.3432129514321307</c:v>
                </c:pt>
                <c:pt idx="44">
                  <c:v>6.6976438356164376</c:v>
                </c:pt>
                <c:pt idx="45">
                  <c:v>6.3551305246833811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18-4CA8-A70E-534D4E7D34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3493584"/>
        <c:axId val="1"/>
      </c:barChart>
      <c:lineChart>
        <c:grouping val="standard"/>
        <c:varyColors val="0"/>
        <c:ser>
          <c:idx val="1"/>
          <c:order val="1"/>
          <c:tx>
            <c:strRef>
              <c:f>'G3 Análisis'!$F$6:$F$7</c:f>
              <c:strCache>
                <c:ptCount val="1"/>
                <c:pt idx="0">
                  <c:v>Promedio de TIEMPO TRAMITACION DEVOLUCION</c:v>
                </c:pt>
              </c:strCache>
            </c:strRef>
          </c:tx>
          <c:spPr>
            <a:ln w="25400">
              <a:solidFill>
                <a:srgbClr val="80000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FFFFFF"/>
              </a:solidFill>
              <a:ln>
                <a:solidFill>
                  <a:srgbClr val="8000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0" i="0" u="none" strike="noStrike" baseline="0"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'G3 Análisis'!$C$8:$D$53</c:f>
              <c:multiLvlStrCache>
                <c:ptCount val="46"/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</c:v>
                  </c:pt>
                  <c:pt idx="13">
                    <c:v>2</c:v>
                  </c:pt>
                  <c:pt idx="14">
                    <c:v>3</c:v>
                  </c:pt>
                  <c:pt idx="15">
                    <c:v>4</c:v>
                  </c:pt>
                  <c:pt idx="16">
                    <c:v>5</c:v>
                  </c:pt>
                  <c:pt idx="17">
                    <c:v>6</c:v>
                  </c:pt>
                  <c:pt idx="18">
                    <c:v>7</c:v>
                  </c:pt>
                  <c:pt idx="19">
                    <c:v>8</c:v>
                  </c:pt>
                  <c:pt idx="20">
                    <c:v>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1</c:v>
                  </c:pt>
                  <c:pt idx="25">
                    <c:v>2</c:v>
                  </c:pt>
                  <c:pt idx="26">
                    <c:v>3</c:v>
                  </c:pt>
                  <c:pt idx="27">
                    <c:v>4</c:v>
                  </c:pt>
                  <c:pt idx="28">
                    <c:v>5</c:v>
                  </c:pt>
                  <c:pt idx="29">
                    <c:v>6</c:v>
                  </c:pt>
                  <c:pt idx="30">
                    <c:v>7</c:v>
                  </c:pt>
                  <c:pt idx="31">
                    <c:v>8</c:v>
                  </c:pt>
                  <c:pt idx="32">
                    <c:v>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1</c:v>
                  </c:pt>
                  <c:pt idx="37">
                    <c:v>2</c:v>
                  </c:pt>
                  <c:pt idx="38">
                    <c:v>3</c:v>
                  </c:pt>
                  <c:pt idx="39">
                    <c:v>4</c:v>
                  </c:pt>
                  <c:pt idx="40">
                    <c:v>5</c:v>
                  </c:pt>
                  <c:pt idx="41">
                    <c:v>6</c:v>
                  </c:pt>
                  <c:pt idx="42">
                    <c:v>7</c:v>
                  </c:pt>
                  <c:pt idx="43">
                    <c:v>8</c:v>
                  </c:pt>
                  <c:pt idx="44">
                    <c:v>9</c:v>
                  </c:pt>
                  <c:pt idx="45">
                    <c:v>10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'G3 Análisis'!$F$8:$F$53</c:f>
              <c:numCache>
                <c:formatCode>0.0</c:formatCode>
                <c:ptCount val="46"/>
                <c:pt idx="0">
                  <c:v>8.3612524461839524</c:v>
                </c:pt>
                <c:pt idx="1">
                  <c:v>10.056902002107483</c:v>
                </c:pt>
                <c:pt idx="2">
                  <c:v>10.422475040631527</c:v>
                </c:pt>
                <c:pt idx="3">
                  <c:v>11.511361804995971</c:v>
                </c:pt>
                <c:pt idx="4">
                  <c:v>11.52586235352368</c:v>
                </c:pt>
                <c:pt idx="5">
                  <c:v>10.782622309197652</c:v>
                </c:pt>
                <c:pt idx="6">
                  <c:v>11.13743462017435</c:v>
                </c:pt>
                <c:pt idx="7">
                  <c:v>10.155182217627296</c:v>
                </c:pt>
                <c:pt idx="8">
                  <c:v>12.311614055985709</c:v>
                </c:pt>
                <c:pt idx="9">
                  <c:v>10.855032757593806</c:v>
                </c:pt>
                <c:pt idx="10">
                  <c:v>10.288916562889165</c:v>
                </c:pt>
                <c:pt idx="11">
                  <c:v>10.704657534246575</c:v>
                </c:pt>
                <c:pt idx="12">
                  <c:v>10.713782499301093</c:v>
                </c:pt>
                <c:pt idx="13">
                  <c:v>12.171970495258167</c:v>
                </c:pt>
                <c:pt idx="14">
                  <c:v>10.652054794520549</c:v>
                </c:pt>
                <c:pt idx="15">
                  <c:v>11.80931506849315</c:v>
                </c:pt>
                <c:pt idx="16">
                  <c:v>11.405230386052303</c:v>
                </c:pt>
                <c:pt idx="17">
                  <c:v>13.438988408851426</c:v>
                </c:pt>
                <c:pt idx="18">
                  <c:v>11.625831702544032</c:v>
                </c:pt>
                <c:pt idx="19">
                  <c:v>11.272844480257858</c:v>
                </c:pt>
                <c:pt idx="20">
                  <c:v>9.8149631190727078</c:v>
                </c:pt>
                <c:pt idx="21">
                  <c:v>11.001053740779771</c:v>
                </c:pt>
                <c:pt idx="22">
                  <c:v>10.550435865504356</c:v>
                </c:pt>
                <c:pt idx="23">
                  <c:v>14.021917808219179</c:v>
                </c:pt>
                <c:pt idx="24">
                  <c:v>10.922540473225403</c:v>
                </c:pt>
                <c:pt idx="25">
                  <c:v>11.271232876712327</c:v>
                </c:pt>
                <c:pt idx="26">
                  <c:v>10.474133763094283</c:v>
                </c:pt>
                <c:pt idx="27">
                  <c:v>9.8014395170652424</c:v>
                </c:pt>
                <c:pt idx="28">
                  <c:v>11.618898518311431</c:v>
                </c:pt>
                <c:pt idx="29">
                  <c:v>11.390516332982084</c:v>
                </c:pt>
                <c:pt idx="30">
                  <c:v>10.348630136986301</c:v>
                </c:pt>
                <c:pt idx="31">
                  <c:v>10.3267483777938</c:v>
                </c:pt>
                <c:pt idx="32">
                  <c:v>10.953746978243355</c:v>
                </c:pt>
                <c:pt idx="33">
                  <c:v>9.0479452054794525</c:v>
                </c:pt>
                <c:pt idx="34">
                  <c:v>10.245205479452054</c:v>
                </c:pt>
                <c:pt idx="35">
                  <c:v>12.572994129158515</c:v>
                </c:pt>
                <c:pt idx="36">
                  <c:v>10.764058509403299</c:v>
                </c:pt>
                <c:pt idx="37">
                  <c:v>10.093150684931505</c:v>
                </c:pt>
                <c:pt idx="38">
                  <c:v>10.803287671232875</c:v>
                </c:pt>
                <c:pt idx="39">
                  <c:v>8.7927380755900302</c:v>
                </c:pt>
                <c:pt idx="40">
                  <c:v>9.4705739552627026</c:v>
                </c:pt>
                <c:pt idx="41">
                  <c:v>9.2544122331952838</c:v>
                </c:pt>
                <c:pt idx="42">
                  <c:v>9.5785919082510365</c:v>
                </c:pt>
                <c:pt idx="43">
                  <c:v>8.5795068493150648</c:v>
                </c:pt>
                <c:pt idx="44">
                  <c:v>8.2832011535688537</c:v>
                </c:pt>
                <c:pt idx="45">
                  <c:v>6.6529109589041093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518-4CA8-A70E-534D4E7D34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3493584"/>
        <c:axId val="1"/>
      </c:lineChart>
      <c:catAx>
        <c:axId val="4734935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s-CR"/>
                  <a:t>Meses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 rtl="1">
              <a:defRPr sz="800" b="0" i="0" u="none" strike="noStrike" baseline="0">
                <a:latin typeface="Arial"/>
                <a:ea typeface="Arial"/>
                <a:cs typeface="Arial"/>
              </a:defRPr>
            </a:pPr>
            <a:endParaRPr lang="es-CR"/>
          </a:p>
        </c:txPr>
        <c:crossAx val="1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80808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s-CR"/>
                  <a:t>Duración (meses)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0.0" sourceLinked="1"/>
        <c:majorTickMark val="out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 rtl="1">
              <a:defRPr sz="800" b="0" i="0" u="none" strike="noStrike" baseline="0">
                <a:latin typeface="Arial"/>
                <a:ea typeface="Arial"/>
                <a:cs typeface="Arial"/>
              </a:defRPr>
            </a:pPr>
            <a:endParaRPr lang="es-CR"/>
          </a:p>
        </c:txPr>
        <c:crossAx val="473493584"/>
        <c:crosses val="autoZero"/>
        <c:crossBetween val="between"/>
      </c:valAx>
      <c:spPr>
        <a:solidFill>
          <a:srgbClr val="FFFFFF"/>
        </a:solidFill>
        <a:ln w="25400">
          <a:noFill/>
        </a:ln>
      </c:spPr>
    </c:plotArea>
    <c:legend>
      <c:legendPos val="t"/>
      <c:overlay val="0"/>
      <c:spPr>
        <a:noFill/>
        <a:ln w="25400">
          <a:noFill/>
        </a:ln>
      </c:spPr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s-C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CR"/>
    </a:p>
  </c:tx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[(G3, G4) Tiempo de tramitacion Agosto 2017.xls]G4 Análisis!Tabla dinámica1</c:name>
    <c:fmtId val="-1"/>
  </c:pivotSource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s-CR"/>
              <a:t>Tiempo de tramitación de expedientes por macroproceso</a:t>
            </a:r>
          </a:p>
        </c:rich>
      </c:tx>
      <c:overlay val="0"/>
      <c:spPr>
        <a:noFill/>
        <a:ln w="25400">
          <a:noFill/>
        </a:ln>
      </c:spPr>
    </c:title>
    <c:autoTitleDeleted val="0"/>
    <c:pivotFmts>
      <c:pivotFmt>
        <c:idx val="0"/>
        <c:spPr>
          <a:solidFill>
            <a:srgbClr val="9999FF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rot="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rgbClr val="993366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rgbClr val="FFFFCC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rgbClr val="CCFFFF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rgbClr val="660066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solidFill>
                    <a:schemeClr val="bg1"/>
                  </a:solidFill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dLbl>
          <c:idx val="0"/>
          <c:layout>
            <c:manualLayout>
              <c:x val="8.2730093071354711E-3"/>
              <c:y val="-3.3898305084745804E-2"/>
            </c:manualLayout>
          </c:layout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solidFill>
                    <a:schemeClr val="bg1"/>
                  </a:solidFill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ct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dLbl>
          <c:idx val="0"/>
          <c:layout>
            <c:manualLayout>
              <c:x val="1.1030679076180628E-2"/>
              <c:y val="0"/>
            </c:manualLayout>
          </c:layout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solidFill>
                    <a:schemeClr val="bg1"/>
                  </a:solidFill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ct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ln w="25400">
            <a:solidFill>
              <a:srgbClr val="800000"/>
            </a:solidFill>
            <a:prstDash val="solid"/>
          </a:ln>
          <a:effectLst/>
        </c:spPr>
        <c:marker>
          <c:symbol val="none"/>
        </c:marker>
      </c:pivotFmt>
      <c:pivotFmt>
        <c:idx val="8"/>
        <c:spPr>
          <a:ln w="25400">
            <a:solidFill>
              <a:srgbClr val="99CC00"/>
            </a:solidFill>
            <a:prstDash val="solid"/>
          </a:ln>
          <a:effectLst/>
        </c:spPr>
        <c:marker>
          <c:symbol val="square"/>
          <c:size val="7"/>
          <c:spPr>
            <a:solidFill>
              <a:srgbClr val="FFFFFF"/>
            </a:solidFill>
            <a:ln>
              <a:solidFill>
                <a:srgbClr val="99CC00"/>
              </a:solidFill>
              <a:prstDash val="solid"/>
            </a:ln>
          </c:spPr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dLbl>
          <c:idx val="0"/>
          <c:layout>
            <c:manualLayout>
              <c:x val="-1.4953301468133442E-2"/>
              <c:y val="-4.9535299612972108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dLbl>
          <c:idx val="0"/>
          <c:layout>
            <c:manualLayout>
              <c:x val="-1.5633381918263294E-2"/>
              <c:y val="-5.2817652030784264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dLbl>
          <c:idx val="0"/>
          <c:layout>
            <c:manualLayout>
              <c:x val="-1.6313353798717248E-2"/>
              <c:y val="-7.6524578495484677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dLbl>
          <c:idx val="0"/>
          <c:layout>
            <c:manualLayout>
              <c:x val="-1.6993325679171178E-2"/>
              <c:y val="-6.1693135815650162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dLbl>
          <c:idx val="0"/>
          <c:layout>
            <c:manualLayout>
              <c:x val="-1.7369953885030244E-2"/>
              <c:y val="-7.5225944214600313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dLbl>
          <c:idx val="0"/>
          <c:layout>
            <c:manualLayout>
              <c:x val="-2.1506458538597978E-2"/>
              <c:y val="-9.3305040259798036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dLbl>
          <c:idx val="0"/>
          <c:layout>
            <c:manualLayout>
              <c:x val="-1.736995388503014E-2"/>
              <c:y val="-6.7937897593309315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dLbl>
          <c:idx val="0"/>
          <c:layout>
            <c:manualLayout>
              <c:x val="-1.736995388503014E-2"/>
              <c:y val="-7.47175586102585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</c:pivotFmt>
      <c:pivotFmt>
        <c:idx val="18"/>
        <c:spPr>
          <a:solidFill>
            <a:srgbClr val="9999FF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rot="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rgbClr val="993366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rgbClr val="FFFFCC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rgbClr val="CCFFFF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rgbClr val="660066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solidFill>
                    <a:schemeClr val="bg1"/>
                  </a:solidFill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dLbl>
          <c:idx val="0"/>
          <c:layout>
            <c:manualLayout>
              <c:x val="8.2730093071354711E-3"/>
              <c:y val="-3.3898305084745804E-2"/>
            </c:manualLayout>
          </c:layout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solidFill>
                    <a:schemeClr val="bg1"/>
                  </a:solidFill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ct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dLbl>
          <c:idx val="0"/>
          <c:layout>
            <c:manualLayout>
              <c:x val="1.1030679076180628E-2"/>
              <c:y val="0"/>
            </c:manualLayout>
          </c:layout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solidFill>
                    <a:schemeClr val="bg1"/>
                  </a:solidFill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ct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ln w="25400">
            <a:solidFill>
              <a:srgbClr val="800000"/>
            </a:solidFill>
            <a:prstDash val="solid"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ln w="25400">
            <a:solidFill>
              <a:srgbClr val="99CC00"/>
            </a:solidFill>
            <a:prstDash val="solid"/>
          </a:ln>
          <a:effectLst/>
        </c:spPr>
        <c:marker>
          <c:symbol val="square"/>
          <c:size val="7"/>
          <c:spPr>
            <a:solidFill>
              <a:srgbClr val="FFFFFF"/>
            </a:solidFill>
            <a:ln>
              <a:solidFill>
                <a:srgbClr val="99CC00"/>
              </a:solidFill>
              <a:prstDash val="solid"/>
            </a:ln>
          </c:spPr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dLbl>
          <c:idx val="0"/>
          <c:layout>
            <c:manualLayout>
              <c:x val="-1.4953301468133442E-2"/>
              <c:y val="-4.9535299612972108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dLbl>
          <c:idx val="0"/>
          <c:layout>
            <c:manualLayout>
              <c:x val="-1.5633381918263294E-2"/>
              <c:y val="-5.2817652030784264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dLbl>
          <c:idx val="0"/>
          <c:layout>
            <c:manualLayout>
              <c:x val="-1.6313353798717248E-2"/>
              <c:y val="-7.6524578495484677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dLbl>
          <c:idx val="0"/>
          <c:layout>
            <c:manualLayout>
              <c:x val="-1.6993325679171178E-2"/>
              <c:y val="-6.1693135815650162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dLbl>
          <c:idx val="0"/>
          <c:layout>
            <c:manualLayout>
              <c:x val="-1.7369953885030244E-2"/>
              <c:y val="-7.5225944214600313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dLbl>
          <c:idx val="0"/>
          <c:layout>
            <c:manualLayout>
              <c:x val="-2.1506458538597978E-2"/>
              <c:y val="-9.3305040259798036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dLbl>
          <c:idx val="0"/>
          <c:layout>
            <c:manualLayout>
              <c:x val="-1.736995388503014E-2"/>
              <c:y val="-6.7937897593309315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dLbl>
          <c:idx val="0"/>
          <c:layout>
            <c:manualLayout>
              <c:x val="-1.736995388503014E-2"/>
              <c:y val="-7.47175586102585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rgbClr val="9999FF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rot="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rgbClr val="993366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rgbClr val="FFFFCC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rgbClr val="CCFFFF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rgbClr val="660066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solidFill>
                    <a:schemeClr val="bg1"/>
                  </a:solidFill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dLbl>
          <c:idx val="0"/>
          <c:layout>
            <c:manualLayout>
              <c:x val="8.2730093071354711E-3"/>
              <c:y val="-3.3898305084745804E-2"/>
            </c:manualLayout>
          </c:layout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solidFill>
                    <a:schemeClr val="bg1"/>
                  </a:solidFill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ct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dLbl>
          <c:idx val="0"/>
          <c:layout>
            <c:manualLayout>
              <c:x val="1.1030679076180628E-2"/>
              <c:y val="0"/>
            </c:manualLayout>
          </c:layout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solidFill>
                    <a:schemeClr val="bg1"/>
                  </a:solidFill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ct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ln w="25400">
            <a:solidFill>
              <a:srgbClr val="800000"/>
            </a:solidFill>
            <a:prstDash val="solid"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ln w="25400">
            <a:solidFill>
              <a:srgbClr val="99CC00"/>
            </a:solidFill>
            <a:prstDash val="solid"/>
          </a:ln>
          <a:effectLst/>
        </c:spPr>
        <c:marker>
          <c:symbol val="square"/>
          <c:size val="7"/>
          <c:spPr>
            <a:solidFill>
              <a:srgbClr val="FFFFFF"/>
            </a:solidFill>
            <a:ln>
              <a:solidFill>
                <a:srgbClr val="99CC00"/>
              </a:solidFill>
              <a:prstDash val="solid"/>
            </a:ln>
          </c:spPr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dLbl>
          <c:idx val="0"/>
          <c:layout>
            <c:manualLayout>
              <c:x val="-1.4953301468133442E-2"/>
              <c:y val="-4.9535299612972108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dLbl>
          <c:idx val="0"/>
          <c:layout>
            <c:manualLayout>
              <c:x val="-1.5633381918263294E-2"/>
              <c:y val="-5.2817652030784264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dLbl>
          <c:idx val="0"/>
          <c:layout>
            <c:manualLayout>
              <c:x val="-1.6313353798717248E-2"/>
              <c:y val="-7.6524578495484677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dLbl>
          <c:idx val="0"/>
          <c:layout>
            <c:manualLayout>
              <c:x val="-1.6993325679171178E-2"/>
              <c:y val="-6.1693135815650162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dLbl>
          <c:idx val="0"/>
          <c:layout>
            <c:manualLayout>
              <c:x val="-1.7369953885030244E-2"/>
              <c:y val="-7.5225944214600313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dLbl>
          <c:idx val="0"/>
          <c:layout>
            <c:manualLayout>
              <c:x val="-2.1506458538597978E-2"/>
              <c:y val="-9.3305040259798036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dLbl>
          <c:idx val="0"/>
          <c:layout>
            <c:manualLayout>
              <c:x val="-1.736995388503014E-2"/>
              <c:y val="-6.7937897593309315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dLbl>
          <c:idx val="0"/>
          <c:layout>
            <c:manualLayout>
              <c:x val="-1.736995388503014E-2"/>
              <c:y val="-7.47175586102585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6.4716755286664665E-2"/>
          <c:y val="9.937862004537569E-2"/>
          <c:w val="0.86474085775472487"/>
          <c:h val="0.7165731571689132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'G4 Análisis'!$D$5:$D$6</c:f>
              <c:strCache>
                <c:ptCount val="1"/>
                <c:pt idx="0">
                  <c:v> Espera del expediente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  <a:effectLst/>
            </c:spPr>
            <c:txPr>
              <a:bodyPr rot="0" vert="horz" wrap="square" lIns="38100" tIns="19050" rIns="38100" bIns="19050" anchor="ctr">
                <a:spAutoFit/>
              </a:bodyPr>
              <a:lstStyle/>
              <a:p>
                <a:pPr algn="ctr">
                  <a:defRPr sz="800" b="1" i="0" u="none" strike="noStrike" baseline="0"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'G4 Análisis'!$B$7:$C$19</c:f>
              <c:multiLvlStrCache>
                <c:ptCount val="8"/>
                <c:lvl>
                  <c:pt idx="0">
                    <c:v>1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1</c:v>
                  </c:pt>
                  <c:pt idx="7">
                    <c:v>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</c:lvl>
              </c:multiLvlStrCache>
            </c:multiLvlStrRef>
          </c:cat>
          <c:val>
            <c:numRef>
              <c:f>'G4 Análisis'!$D$7:$D$19</c:f>
              <c:numCache>
                <c:formatCode>0</c:formatCode>
                <c:ptCount val="8"/>
                <c:pt idx="0">
                  <c:v>19.3</c:v>
                </c:pt>
                <c:pt idx="1">
                  <c:v>18.486956521739131</c:v>
                </c:pt>
                <c:pt idx="2">
                  <c:v>15.614942528735632</c:v>
                </c:pt>
                <c:pt idx="3">
                  <c:v>16.392156862745097</c:v>
                </c:pt>
                <c:pt idx="4">
                  <c:v>15.439716312056738</c:v>
                </c:pt>
                <c:pt idx="5">
                  <c:v>13.463636363636363</c:v>
                </c:pt>
                <c:pt idx="6">
                  <c:v>11.679611650485437</c:v>
                </c:pt>
                <c:pt idx="7">
                  <c:v>8.2820512820512828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CE-4623-ADB3-E7C71DA0925C}"/>
            </c:ext>
          </c:extLst>
        </c:ser>
        <c:ser>
          <c:idx val="1"/>
          <c:order val="1"/>
          <c:tx>
            <c:strRef>
              <c:f>'G4 Análisis'!$E$5:$E$6</c:f>
              <c:strCache>
                <c:ptCount val="1"/>
                <c:pt idx="0">
                  <c:v> Espera distribución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'G4 Análisis'!$B$7:$C$19</c:f>
              <c:multiLvlStrCache>
                <c:ptCount val="8"/>
                <c:lvl>
                  <c:pt idx="0">
                    <c:v>1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1</c:v>
                  </c:pt>
                  <c:pt idx="7">
                    <c:v>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</c:lvl>
              </c:multiLvlStrCache>
            </c:multiLvlStrRef>
          </c:cat>
          <c:val>
            <c:numRef>
              <c:f>'G4 Análisis'!$E$7:$E$19</c:f>
              <c:numCache>
                <c:formatCode>0</c:formatCode>
                <c:ptCount val="8"/>
                <c:pt idx="0">
                  <c:v>34.235465116279073</c:v>
                </c:pt>
                <c:pt idx="1">
                  <c:v>40.229665071770334</c:v>
                </c:pt>
                <c:pt idx="2">
                  <c:v>33.481049562682216</c:v>
                </c:pt>
                <c:pt idx="3">
                  <c:v>33.842696629213485</c:v>
                </c:pt>
                <c:pt idx="4">
                  <c:v>23.603112840466927</c:v>
                </c:pt>
                <c:pt idx="5">
                  <c:v>26.480176211453745</c:v>
                </c:pt>
                <c:pt idx="6">
                  <c:v>20.228276877761413</c:v>
                </c:pt>
                <c:pt idx="7">
                  <c:v>17.841897233201582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CE-4623-ADB3-E7C71DA0925C}"/>
            </c:ext>
          </c:extLst>
        </c:ser>
        <c:ser>
          <c:idx val="2"/>
          <c:order val="2"/>
          <c:tx>
            <c:strRef>
              <c:f>'G4 Análisis'!$F$5:$F$6</c:f>
              <c:strCache>
                <c:ptCount val="1"/>
                <c:pt idx="0">
                  <c:v> Redacción del proyecto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'G4 Análisis'!$B$7:$C$19</c:f>
              <c:multiLvlStrCache>
                <c:ptCount val="8"/>
                <c:lvl>
                  <c:pt idx="0">
                    <c:v>1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1</c:v>
                  </c:pt>
                  <c:pt idx="7">
                    <c:v>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</c:lvl>
              </c:multiLvlStrCache>
            </c:multiLvlStrRef>
          </c:cat>
          <c:val>
            <c:numRef>
              <c:f>'G4 Análisis'!$F$7:$F$19</c:f>
              <c:numCache>
                <c:formatCode>0</c:formatCode>
                <c:ptCount val="8"/>
                <c:pt idx="0">
                  <c:v>56.66011235955056</c:v>
                </c:pt>
                <c:pt idx="1">
                  <c:v>64.251798561151077</c:v>
                </c:pt>
                <c:pt idx="2">
                  <c:v>83.582633053221286</c:v>
                </c:pt>
                <c:pt idx="3">
                  <c:v>87.363888888888894</c:v>
                </c:pt>
                <c:pt idx="4">
                  <c:v>85.685598377281949</c:v>
                </c:pt>
                <c:pt idx="5">
                  <c:v>103.3422619047619</c:v>
                </c:pt>
                <c:pt idx="6">
                  <c:v>93.55909943714822</c:v>
                </c:pt>
                <c:pt idx="7">
                  <c:v>88.105454545454549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ECE-4623-ADB3-E7C71DA0925C}"/>
            </c:ext>
          </c:extLst>
        </c:ser>
        <c:ser>
          <c:idx val="3"/>
          <c:order val="3"/>
          <c:tx>
            <c:strRef>
              <c:f>'G4 Análisis'!$G$5:$G$6</c:f>
              <c:strCache>
                <c:ptCount val="1"/>
                <c:pt idx="0">
                  <c:v> Rotación del expediente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'G4 Análisis'!$B$7:$C$19</c:f>
              <c:multiLvlStrCache>
                <c:ptCount val="8"/>
                <c:lvl>
                  <c:pt idx="0">
                    <c:v>1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1</c:v>
                  </c:pt>
                  <c:pt idx="7">
                    <c:v>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</c:lvl>
              </c:multiLvlStrCache>
            </c:multiLvlStrRef>
          </c:cat>
          <c:val>
            <c:numRef>
              <c:f>'G4 Análisis'!$G$7:$G$19</c:f>
              <c:numCache>
                <c:formatCode>0</c:formatCode>
                <c:ptCount val="8"/>
                <c:pt idx="0">
                  <c:v>110.1340782122905</c:v>
                </c:pt>
                <c:pt idx="1">
                  <c:v>123.28666666666666</c:v>
                </c:pt>
                <c:pt idx="2">
                  <c:v>136.7906976744186</c:v>
                </c:pt>
                <c:pt idx="3">
                  <c:v>107.49</c:v>
                </c:pt>
                <c:pt idx="4">
                  <c:v>119.01486988847584</c:v>
                </c:pt>
                <c:pt idx="5">
                  <c:v>119.02051282051282</c:v>
                </c:pt>
                <c:pt idx="6">
                  <c:v>119.84350132625995</c:v>
                </c:pt>
                <c:pt idx="7">
                  <c:v>105.78928571428571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ECE-4623-ADB3-E7C71DA0925C}"/>
            </c:ext>
          </c:extLst>
        </c:ser>
        <c:ser>
          <c:idx val="4"/>
          <c:order val="4"/>
          <c:tx>
            <c:strRef>
              <c:f>'G4 Análisis'!$H$5:$H$6</c:f>
              <c:strCache>
                <c:ptCount val="1"/>
                <c:pt idx="0">
                  <c:v> Devolución del expediente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5"/>
              <c:layout>
                <c:manualLayout>
                  <c:x val="8.2730093071354711E-3"/>
                  <c:y val="-3.389830508474580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ECE-4623-ADB3-E7C71DA0925C}"/>
                </c:ext>
              </c:extLst>
            </c:dLbl>
            <c:dLbl>
              <c:idx val="7"/>
              <c:layout>
                <c:manualLayout>
                  <c:x val="1.103067907618062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ECE-4623-ADB3-E7C71DA0925C}"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chemeClr val="bg1"/>
                    </a:solidFill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'G4 Análisis'!$B$7:$C$19</c:f>
              <c:multiLvlStrCache>
                <c:ptCount val="8"/>
                <c:lvl>
                  <c:pt idx="0">
                    <c:v>1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1</c:v>
                  </c:pt>
                  <c:pt idx="7">
                    <c:v>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</c:lvl>
              </c:multiLvlStrCache>
            </c:multiLvlStrRef>
          </c:cat>
          <c:val>
            <c:numRef>
              <c:f>'G4 Análisis'!$H$7:$H$19</c:f>
              <c:numCache>
                <c:formatCode>0</c:formatCode>
                <c:ptCount val="8"/>
                <c:pt idx="0">
                  <c:v>72.310638297872345</c:v>
                </c:pt>
                <c:pt idx="1">
                  <c:v>68.8041958041958</c:v>
                </c:pt>
                <c:pt idx="2">
                  <c:v>81.710144927536234</c:v>
                </c:pt>
                <c:pt idx="3">
                  <c:v>75.07692307692308</c:v>
                </c:pt>
                <c:pt idx="4">
                  <c:v>80.575396825396822</c:v>
                </c:pt>
                <c:pt idx="5">
                  <c:v>63.724489795918366</c:v>
                </c:pt>
                <c:pt idx="6">
                  <c:v>42.917117117117115</c:v>
                </c:pt>
                <c:pt idx="7">
                  <c:v>32.143292682926827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ECE-4623-ADB3-E7C71DA092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73492928"/>
        <c:axId val="1"/>
      </c:barChart>
      <c:lineChart>
        <c:grouping val="standard"/>
        <c:varyColors val="0"/>
        <c:ser>
          <c:idx val="5"/>
          <c:order val="5"/>
          <c:tx>
            <c:strRef>
              <c:f>'G4 Análisis'!$I$5:$I$6</c:f>
              <c:strCache>
                <c:ptCount val="1"/>
                <c:pt idx="0">
                  <c:v> TRAMITACION VOTACION</c:v>
                </c:pt>
              </c:strCache>
            </c:strRef>
          </c:tx>
          <c:spPr>
            <a:ln w="25400">
              <a:solidFill>
                <a:srgbClr val="800000"/>
              </a:solidFill>
              <a:prstDash val="solid"/>
            </a:ln>
            <a:effectLst/>
          </c:spPr>
          <c:marker>
            <c:symbol val="none"/>
          </c:marker>
          <c:cat>
            <c:multiLvlStrRef>
              <c:f>'G4 Análisis'!$B$7:$C$19</c:f>
              <c:multiLvlStrCache>
                <c:ptCount val="8"/>
                <c:lvl>
                  <c:pt idx="0">
                    <c:v>1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1</c:v>
                  </c:pt>
                  <c:pt idx="7">
                    <c:v>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</c:lvl>
              </c:multiLvlStrCache>
            </c:multiLvlStrRef>
          </c:cat>
          <c:val>
            <c:numRef>
              <c:f>'G4 Análisis'!$I$7:$I$19</c:f>
              <c:numCache>
                <c:formatCode>0.0</c:formatCode>
                <c:ptCount val="8"/>
                <c:pt idx="0">
                  <c:v>9.7539027305323174</c:v>
                </c:pt>
                <c:pt idx="1">
                  <c:v>10.163504143412824</c:v>
                </c:pt>
                <c:pt idx="2">
                  <c:v>10.427151911674502</c:v>
                </c:pt>
                <c:pt idx="3">
                  <c:v>10.655803893294884</c:v>
                </c:pt>
                <c:pt idx="4">
                  <c:v>9.3821285563751342</c:v>
                </c:pt>
                <c:pt idx="5">
                  <c:v>9.5890410958904049</c:v>
                </c:pt>
                <c:pt idx="6">
                  <c:v>9.2184518897507903</c:v>
                </c:pt>
                <c:pt idx="7">
                  <c:v>7.8258687815428978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1ECE-4623-ADB3-E7C71DA0925C}"/>
            </c:ext>
          </c:extLst>
        </c:ser>
        <c:ser>
          <c:idx val="6"/>
          <c:order val="6"/>
          <c:tx>
            <c:strRef>
              <c:f>'G4 Análisis'!$J$5:$J$6</c:f>
              <c:strCache>
                <c:ptCount val="1"/>
                <c:pt idx="0">
                  <c:v> TRAMITACION DEVOLUCION</c:v>
                </c:pt>
              </c:strCache>
            </c:strRef>
          </c:tx>
          <c:spPr>
            <a:ln w="25400">
              <a:solidFill>
                <a:srgbClr val="99CC00"/>
              </a:solidFill>
              <a:prstDash val="solid"/>
            </a:ln>
            <a:effectLst/>
          </c:spPr>
          <c:marker>
            <c:symbol val="square"/>
            <c:size val="7"/>
            <c:spPr>
              <a:solidFill>
                <a:srgbClr val="FFFFFF"/>
              </a:solidFill>
              <a:ln>
                <a:solidFill>
                  <a:srgbClr val="99CC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4953301468133442E-2"/>
                  <c:y val="-4.95352996129721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ECE-4623-ADB3-E7C71DA0925C}"/>
                </c:ext>
              </c:extLst>
            </c:dLbl>
            <c:dLbl>
              <c:idx val="1"/>
              <c:layout>
                <c:manualLayout>
                  <c:x val="-1.5633381918263294E-2"/>
                  <c:y val="-5.28176520307842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ECE-4623-ADB3-E7C71DA0925C}"/>
                </c:ext>
              </c:extLst>
            </c:dLbl>
            <c:dLbl>
              <c:idx val="2"/>
              <c:layout>
                <c:manualLayout>
                  <c:x val="-1.6313353798717248E-2"/>
                  <c:y val="-7.65245784954846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ECE-4623-ADB3-E7C71DA0925C}"/>
                </c:ext>
              </c:extLst>
            </c:dLbl>
            <c:dLbl>
              <c:idx val="3"/>
              <c:layout>
                <c:manualLayout>
                  <c:x val="-1.6993325679171178E-2"/>
                  <c:y val="-6.16931358156501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ECE-4623-ADB3-E7C71DA0925C}"/>
                </c:ext>
              </c:extLst>
            </c:dLbl>
            <c:dLbl>
              <c:idx val="4"/>
              <c:layout>
                <c:manualLayout>
                  <c:x val="-1.7369953885030244E-2"/>
                  <c:y val="-7.52259442146003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ECE-4623-ADB3-E7C71DA0925C}"/>
                </c:ext>
              </c:extLst>
            </c:dLbl>
            <c:dLbl>
              <c:idx val="5"/>
              <c:layout>
                <c:manualLayout>
                  <c:x val="-2.1506458538597978E-2"/>
                  <c:y val="-9.33050402597980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ECE-4623-ADB3-E7C71DA0925C}"/>
                </c:ext>
              </c:extLst>
            </c:dLbl>
            <c:dLbl>
              <c:idx val="6"/>
              <c:layout>
                <c:manualLayout>
                  <c:x val="-1.736995388503014E-2"/>
                  <c:y val="-6.79378975933093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ECE-4623-ADB3-E7C71DA0925C}"/>
                </c:ext>
              </c:extLst>
            </c:dLbl>
            <c:dLbl>
              <c:idx val="7"/>
              <c:layout>
                <c:manualLayout>
                  <c:x val="-1.736995388503014E-2"/>
                  <c:y val="-7.471755861025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ECE-4623-ADB3-E7C71DA0925C}"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1" i="0" u="none" strike="noStrike" baseline="0"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'G4 Análisis'!$B$7:$C$19</c:f>
              <c:multiLvlStrCache>
                <c:ptCount val="8"/>
                <c:lvl>
                  <c:pt idx="0">
                    <c:v>1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1</c:v>
                  </c:pt>
                  <c:pt idx="7">
                    <c:v>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</c:lvl>
              </c:multiLvlStrCache>
            </c:multiLvlStrRef>
          </c:cat>
          <c:val>
            <c:numRef>
              <c:f>'G4 Análisis'!$J$7:$J$19</c:f>
              <c:numCache>
                <c:formatCode>0.0</c:formatCode>
                <c:ptCount val="8"/>
                <c:pt idx="0">
                  <c:v>10.719925702345027</c:v>
                </c:pt>
                <c:pt idx="1">
                  <c:v>10.998642939444377</c:v>
                </c:pt>
                <c:pt idx="2">
                  <c:v>11.541835762947768</c:v>
                </c:pt>
                <c:pt idx="3">
                  <c:v>10.983437110834373</c:v>
                </c:pt>
                <c:pt idx="4">
                  <c:v>10.605088062622306</c:v>
                </c:pt>
                <c:pt idx="5">
                  <c:v>10.359522757401677</c:v>
                </c:pt>
                <c:pt idx="6">
                  <c:v>9.6327848779367926</c:v>
                </c:pt>
                <c:pt idx="7">
                  <c:v>8.1631382316313843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0-1ECE-4623-ADB3-E7C71DA092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"/>
        <c:axId val="4"/>
      </c:lineChart>
      <c:catAx>
        <c:axId val="4734929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s-CR"/>
                  <a:t>Semestres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 rtl="1"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s-CR"/>
          </a:p>
        </c:txPr>
        <c:crossAx val="1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s-CR"/>
                  <a:t>Días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0" sourceLinked="1"/>
        <c:majorTickMark val="out"/>
        <c:minorTickMark val="none"/>
        <c:tickLblPos val="nextTo"/>
        <c:spPr>
          <a:effectLst/>
        </c:spPr>
        <c:txPr>
          <a:bodyPr rot="0" vert="horz"/>
          <a:lstStyle/>
          <a:p>
            <a:pPr rtl="1">
              <a:defRPr sz="800" b="0" i="0" u="none" strike="noStrike" baseline="0">
                <a:latin typeface="Arial"/>
                <a:ea typeface="Arial"/>
                <a:cs typeface="Arial"/>
              </a:defRPr>
            </a:pPr>
            <a:endParaRPr lang="es-CR"/>
          </a:p>
        </c:txPr>
        <c:crossAx val="473492928"/>
        <c:crosses val="autoZero"/>
        <c:crossBetween val="between"/>
      </c:valAx>
      <c:catAx>
        <c:axId val="3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"/>
        <c:crosses val="autoZero"/>
        <c:auto val="0"/>
        <c:lblAlgn val="ctr"/>
        <c:lblOffset val="100"/>
        <c:noMultiLvlLbl val="0"/>
      </c:catAx>
      <c:valAx>
        <c:axId val="4"/>
        <c:scaling>
          <c:orientation val="minMax"/>
        </c:scaling>
        <c:delete val="0"/>
        <c:axPos val="r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s-CR"/>
                  <a:t>Meses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0.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  <a:effectLst/>
        </c:spPr>
        <c:txPr>
          <a:bodyPr rot="0" vert="horz"/>
          <a:lstStyle/>
          <a:p>
            <a:pPr rtl="1">
              <a:defRPr sz="800" b="0" i="0" u="none" strike="noStrike" baseline="0">
                <a:latin typeface="Arial"/>
                <a:ea typeface="Arial"/>
                <a:cs typeface="Arial"/>
              </a:defRPr>
            </a:pPr>
            <a:endParaRPr lang="es-CR"/>
          </a:p>
        </c:txPr>
        <c:crossAx val="3"/>
        <c:crosses val="max"/>
        <c:crossBetween val="between"/>
      </c:valAx>
      <c:spPr>
        <a:solidFill>
          <a:srgbClr val="FFFFFF"/>
        </a:solidFill>
        <a:ln w="12700">
          <a:solidFill>
            <a:srgbClr val="000000"/>
          </a:solidFill>
          <a:prstDash val="solid"/>
        </a:ln>
      </c:spPr>
    </c:plotArea>
    <c:legend>
      <c:legendPos val="b"/>
      <c:overlay val="0"/>
      <c:spPr>
        <a:effectLst/>
      </c:spPr>
      <c:txPr>
        <a:bodyPr/>
        <a:lstStyle/>
        <a:p>
          <a:pPr>
            <a:defRPr sz="600" b="0" i="0" u="none" strike="noStrike" baseline="0">
              <a:latin typeface="Arial"/>
              <a:ea typeface="Arial"/>
              <a:cs typeface="Arial"/>
            </a:defRPr>
          </a:pPr>
          <a:endParaRPr lang="es-C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CR"/>
    </a:p>
  </c:tx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</c:extLst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5F4DCE-773B-49E0-A81F-5EAD32EED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1081</TotalTime>
  <Pages>4</Pages>
  <Words>129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Indicadores de gestión de la Norma GICA 2010: Organización del Despacho Judicial</vt:lpstr>
    </vt:vector>
  </TitlesOfParts>
  <Company>.</Company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Indicadores de gestión de la Norma GICA 2010: Organización del Despacho Judicial</dc:title>
  <dc:creator>gsalasz</dc:creator>
  <cp:lastModifiedBy>Kenneth Muñoz Rojas</cp:lastModifiedBy>
  <cp:revision>155</cp:revision>
  <cp:lastPrinted>2014-10-20T19:13:00Z</cp:lastPrinted>
  <dcterms:created xsi:type="dcterms:W3CDTF">2017-06-14T17:02:00Z</dcterms:created>
  <dcterms:modified xsi:type="dcterms:W3CDTF">2022-11-16T22:09:00Z</dcterms:modified>
</cp:coreProperties>
</file>